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947493C">
      <w:pPr>
        <w:jc w:val="center"/>
        <w:rPr>
          <w:rFonts w:hint="eastAsia" w:asciiTheme="minorEastAsia" w:hAnsiTheme="minorEastAsia" w:cstheme="minorEastAsia"/>
          <w:sz w:val="44"/>
          <w:szCs w:val="44"/>
        </w:rPr>
      </w:pPr>
    </w:p>
    <w:p w14:paraId="674B2C99">
      <w:pPr>
        <w:keepNext w:val="0"/>
        <w:keepLines w:val="0"/>
        <w:pageBreakBefore w:val="0"/>
        <w:widowControl w:val="0"/>
        <w:kinsoku/>
        <w:wordWrap/>
        <w:overflowPunct/>
        <w:topLinePunct w:val="0"/>
        <w:autoSpaceDE/>
        <w:autoSpaceDN/>
        <w:bidi w:val="0"/>
        <w:adjustRightInd/>
        <w:snapToGrid/>
        <w:spacing w:line="620" w:lineRule="exact"/>
        <w:jc w:val="center"/>
        <w:textAlignment w:val="auto"/>
        <w:rPr>
          <w:rFonts w:hint="eastAsia" w:asciiTheme="minorEastAsia" w:hAnsiTheme="minorEastAsia" w:cstheme="minorEastAsia"/>
          <w:sz w:val="44"/>
          <w:szCs w:val="44"/>
        </w:rPr>
      </w:pPr>
      <w:bookmarkStart w:id="0" w:name="_GoBack"/>
      <w:r>
        <w:rPr>
          <w:rFonts w:hint="eastAsia" w:asciiTheme="minorEastAsia" w:hAnsiTheme="minorEastAsia" w:cstheme="minorEastAsia"/>
          <w:sz w:val="44"/>
          <w:szCs w:val="44"/>
        </w:rPr>
        <w:t>铁岭市水利局河道采砂审批管理办法</w:t>
      </w:r>
    </w:p>
    <w:bookmarkEnd w:id="0"/>
    <w:p w14:paraId="3E4681AF">
      <w:pPr>
        <w:keepNext w:val="0"/>
        <w:keepLines w:val="0"/>
        <w:pageBreakBefore w:val="0"/>
        <w:widowControl w:val="0"/>
        <w:kinsoku/>
        <w:wordWrap/>
        <w:overflowPunct/>
        <w:topLinePunct w:val="0"/>
        <w:autoSpaceDE/>
        <w:autoSpaceDN/>
        <w:bidi w:val="0"/>
        <w:adjustRightInd/>
        <w:snapToGrid/>
        <w:spacing w:line="620" w:lineRule="exact"/>
        <w:textAlignment w:val="auto"/>
        <w:rPr>
          <w:rFonts w:ascii="宋体" w:hAnsi="宋体" w:eastAsia="宋体" w:cs="宋体"/>
          <w:color w:val="333333"/>
          <w:sz w:val="28"/>
          <w:szCs w:val="28"/>
          <w:shd w:val="clear" w:color="auto" w:fill="FFFFFF"/>
        </w:rPr>
      </w:pPr>
      <w:r>
        <w:rPr>
          <w:rFonts w:hint="eastAsia" w:ascii="宋体" w:hAnsi="宋体" w:eastAsia="宋体" w:cs="宋体"/>
          <w:color w:val="333333"/>
          <w:sz w:val="28"/>
          <w:szCs w:val="28"/>
          <w:shd w:val="clear" w:color="auto" w:fill="FFFFFF"/>
        </w:rPr>
        <w:t>（2022年11月15日铁市水发〔2022〕4号发布，自发布之日起实施）</w:t>
      </w:r>
    </w:p>
    <w:p w14:paraId="7BF2C4C7">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w:t>
      </w:r>
    </w:p>
    <w:p w14:paraId="08843B36">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第一条  为规范河道采砂许可，坚持从严审批控源头、从严监管强过程，根据《中华人民共和国水法》《中华人民共和国防洪法》《中华人民共和国河道管理条例》《辽宁省河道管理条例》等法律、法规并结合我市实际情况，制定本办法。</w:t>
      </w:r>
    </w:p>
    <w:p w14:paraId="47C30584">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第二条  本办法适用于流域面积五千平方公里以上非主要河段、流域面积五千平方公里以下及县际间界河的河道采砂许可。</w:t>
      </w:r>
    </w:p>
    <w:p w14:paraId="4C43CA92">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第三条  采砂规划由县级及以上地方水行政主管部门按照河道管理权限和有关技术规范要求组织编制，经上一级水行政主管部门审查同意，由本级人民政府审批。</w:t>
      </w:r>
    </w:p>
    <w:p w14:paraId="0DCDF68E">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第四条  采砂年度计划由县级水行政主管部门编制（市直管河流由市水行政主管部门编制），其中，县级管理河道的采砂年度计划，由市水行政主管部门审批，报省水行政主管部门备案；其他河道的采砂年度计划，由市水行政主管部门核定后报省水行政主管部门审批。</w:t>
      </w:r>
    </w:p>
    <w:p w14:paraId="3B21C74A">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第五条  河道采砂权出让通过招标、拍卖、挂牌交易等方式进行，不得违反公平竞争原则。招标、拍卖、挂牌出让由市水行政主管部门统一组织实施，也可由市委托县级水行政主管部门具体实施。</w:t>
      </w:r>
    </w:p>
    <w:p w14:paraId="2ED4AEDC">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第六条  市水行政主管部门负责碾盘河口以上清河河段、柴河水库坝下至入辽河口、寇河前马市堡大桥至入清河口、凡河102国道公路桥至入辽河口市管河段及县际间界河的河道采砂许可，县级水行政主管部门负责其他河流河段的河道采砂许可。</w:t>
      </w:r>
    </w:p>
    <w:p w14:paraId="13C98EE1">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第七条  采砂权竞得人应向实施出让的水行政主管部门足额缴纳河道采砂恢复保证金。根据《关于做好河道采砂恢复保证金征管工作的通知》（铁市水发〔2016〕78号）要求，保证金按采砂权出让价款额度以不同比例计取。</w:t>
      </w:r>
    </w:p>
    <w:p w14:paraId="7768DBA0">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第八条  采砂权竞得人应提供以下申请材料：</w:t>
      </w:r>
    </w:p>
    <w:p w14:paraId="54CC5FD4">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（一）采砂权出让结果及协议书纸质原件2份。</w:t>
      </w:r>
    </w:p>
    <w:p w14:paraId="4EE25A06">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（二）采砂权出让价款和采砂恢复保证金缴费凭证纸质原件1份、复印件2份。</w:t>
      </w:r>
    </w:p>
    <w:p w14:paraId="61CDC666">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（三）负责采砂权出让的水行政主管部门出具的砂场是否涉及林地、耕地以及其他第三者合法权益的证明纸质原件2份。</w:t>
      </w:r>
    </w:p>
    <w:p w14:paraId="16328190">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（四）其他应当提交的材料。</w:t>
      </w:r>
    </w:p>
    <w:p w14:paraId="326BBA72">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河道采砂许可证由实施出让的水行政主管部门，按照河道采砂许可权限和成交确认书约定的期限，为采砂权竞得人申办或领取。</w:t>
      </w:r>
    </w:p>
    <w:p w14:paraId="0B78E662">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第九条  市、县两级水行政主管部门每年要对辖区内有采砂管理任务的河道，逐级逐段落实河道采砂管理河长责任人、行政主管部门责任人、现场监管责任人和行政执法责任人，由县级以上水行政主管部门按照管理权限向社会公告，并报省水行政主管部门备案。</w:t>
      </w:r>
    </w:p>
    <w:p w14:paraId="764AB9D4">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第十条  从事河道采砂的单位和个人，应当遵守以下规定，并服从防汛统一调度和水行政主管部门的监督管理。</w:t>
      </w:r>
    </w:p>
    <w:p w14:paraId="3668AE33">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（一）按照采砂许可规定开采地点、范围、深度、期限、作业方式等进行采砂。</w:t>
      </w:r>
    </w:p>
    <w:p w14:paraId="73465F5B">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（二）采砂许可证正本留存于采砂现场，副本或复印件由采砂作业机械和运输砂石车辆随车携带。</w:t>
      </w:r>
    </w:p>
    <w:p w14:paraId="63A230B9">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（三）运输砂石车辆按指定进出场路线行驶，不得利用河堤堤顶作为运输道路。</w:t>
      </w:r>
    </w:p>
    <w:p w14:paraId="2AC1C0B0">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四）按要求设置采砂范围界桩、公示牌、安全警示牌等设施并进行维护管理。其中，公示牌应当设置在采砂作业现场的显著位置，标明许可证号、许可期限、采砂范围、采深、采量、砂场业主姓名与联系电话及各级监督举报电话等内容；安全警示牌应标明“水深危险、禁止野浴”等内容。</w:t>
      </w:r>
    </w:p>
    <w:p w14:paraId="0DFDEDB2">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五）按要求设置砂石筛分场和临时堆砂场，及时做好弃料处理、现场平整清理及河道恢复；采后按要求形成河道断面，禁止在河道内弃置砂堆。其中，堆砂场应设置在河道管理范围以外，确需设置在河道管理范围内的，应符合岸线规划，并办理河道管理范围内有关活动审批手续。</w:t>
      </w:r>
    </w:p>
    <w:p w14:paraId="4182CA49">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（六）不得损坏水利、防洪及其他涉河工程和设施；不得损坏或干扰水行政主管部门设置的砂场摄录、计量等设备的正常使用。</w:t>
      </w:r>
    </w:p>
    <w:p w14:paraId="3D8BEAF9">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（七）禁采期禁止采砂，在禁采期到达前将采砂机具、管理房等撤出河道管理范围。</w:t>
      </w:r>
    </w:p>
    <w:p w14:paraId="40D61D5C">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（八）有关法律法规规定的其他行为。</w:t>
      </w:r>
    </w:p>
    <w:p w14:paraId="6E1E0484">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第十一条  采砂许可证到期或达到许可采砂量后，采砂活动应立即停止。采砂活动验收检查时间不宜超过采砂停止后的40个工作日。其中，县级水行政主管部门负责采砂活动初验，市水行政主管部门负责复验，验收检查应包括以下内容：</w:t>
      </w:r>
    </w:p>
    <w:p w14:paraId="2573DB0E">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（一）是否及时清运砂石，采砂机具是否撤离采砂现场。</w:t>
      </w:r>
    </w:p>
    <w:p w14:paraId="0EF938C3">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（二）弃料砂堆是否清理平整。</w:t>
      </w:r>
    </w:p>
    <w:p w14:paraId="3D0CA7ED">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（三）堆砂场清理、恢复原状情况。</w:t>
      </w:r>
    </w:p>
    <w:p w14:paraId="4CB086DC">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（四）是否按照采砂规划、年度采砂实施方案或采砂可行性论证相关要求对河道进行修复。</w:t>
      </w:r>
    </w:p>
    <w:p w14:paraId="27042302">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第十二条  对于河道采砂审批管理工作混乱的县（市）区，视情形向全市及相关部门通报，同时依法追究有关单位、人员的行政责任。</w:t>
      </w:r>
    </w:p>
    <w:p w14:paraId="3FDCE2C6">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第十三条  本办法自发布之日起施行，《铁岭市水利局河道采砂审批管理制度》（铁市水发〔2021〕7号）同时废止。</w:t>
      </w:r>
    </w:p>
    <w:sectPr>
      <w:headerReference r:id="rId3" w:type="default"/>
      <w:footerReference r:id="rId4" w:type="default"/>
      <w:pgSz w:w="11906" w:h="16838"/>
      <w:pgMar w:top="1962" w:right="1474" w:bottom="1848" w:left="1587" w:header="851" w:footer="992" w:gutter="0"/>
      <w:pgNumType w:fmt="numberInDash"/>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F53C413">
    <w:pPr>
      <w:pStyle w:val="2"/>
      <w:ind w:left="4788" w:leftChars="2280" w:firstLine="6400" w:firstLineChars="2000"/>
      <w:rPr>
        <w:rFonts w:eastAsia="仿宋"/>
        <w:sz w:val="32"/>
        <w:szCs w:val="48"/>
      </w:rPr>
    </w:pP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09F4AC2B">
                          <w:pPr>
                            <w:pStyle w:val="5"/>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LNJWO7QAAAABQEAAA8AAAAAAAAAAQAgAAAAIgAAAGRycy9kb3ducmV2LnhtbFBL&#10;AQIUABQAAAAIAIdO4kAUfPaqNwIAAG8EAAAOAAAAAAAAAAEAIAAAAB8BAABkcnMvZTJvRG9jLnht&#10;bFBLBQYAAAAABgAGAFkBAADIBQAAAAA=&#10;">
              <v:fill on="f" focussize="0,0"/>
              <v:stroke on="f" weight="0.5pt"/>
              <v:imagedata o:title=""/>
              <o:lock v:ext="edit" aspectratio="f"/>
              <v:textbox inset="0mm,0mm,0mm,0mm" style="mso-fit-shape-to-text:t;">
                <w:txbxContent>
                  <w:p w14:paraId="09F4AC2B">
                    <w:pPr>
                      <w:pStyle w:val="5"/>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p>
  <w:p w14:paraId="6EFDAC8D">
    <w:pPr>
      <w:pStyle w:val="2"/>
      <w:wordWrap w:val="0"/>
      <w:ind w:left="4788" w:leftChars="2280" w:firstLine="6400" w:firstLineChars="2000"/>
      <w:jc w:val="right"/>
      <w:rPr>
        <w:rFonts w:ascii="宋体" w:hAnsi="宋体" w:eastAsia="宋体" w:cs="宋体"/>
        <w:b/>
        <w:bCs/>
        <w:color w:val="005192"/>
        <w:sz w:val="28"/>
        <w:szCs w:val="44"/>
      </w:rPr>
    </w:pPr>
    <w:r>
      <w:rPr>
        <w:color w:val="FAFAFA"/>
        <w:sz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noFill/>
                      <a:ln w="22225" cap="flat" cmpd="sng" algn="ctr">
                        <a:solidFill>
                          <a:srgbClr val="005192"/>
                        </a:solidFill>
                        <a:prstDash val="solid"/>
                        <a:miter lim="800000"/>
                      </a:ln>
                      <a:effectLst/>
                    </wps:spPr>
                    <wps:bodyPr/>
                  </wps:wsp>
                </a:graphicData>
              </a:graphic>
            </wp:anchor>
          </w:drawing>
        </mc:Choice>
        <mc:Fallback>
          <w:pict>
            <v:line id="_x0000_s1026" o:spid="_x0000_s1026" o:spt="20" style="position:absolute;left:0pt;margin-left:0pt;margin-top:5.85pt;height:0.15pt;width:442.25pt;z-index:251660288;mso-width-relative:page;mso-height-relative:page;" filled="f" stroked="t" coordsize="21600,21600"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">
              <v:fill on="f" focussize="0,0"/>
              <v:stroke weight="1.75pt" color="#005192" miterlimit="8" joinstyle="miter"/>
              <v:imagedata o:title=""/>
              <o:lock v:ext="edit" aspectratio="f"/>
            </v:line>
          </w:pict>
        </mc:Fallback>
      </mc:AlternateContent>
    </w:r>
    <w:r>
      <w:rPr>
        <w:rFonts w:hint="eastAsia" w:eastAsia="仿宋"/>
        <w:color w:val="FAFAFA"/>
        <w:sz w:val="32"/>
        <w:szCs w:val="48"/>
      </w:rPr>
      <w:t>X</w:t>
    </w:r>
    <w:r>
      <w:rPr>
        <w:rFonts w:hint="eastAsia" w:ascii="宋体" w:hAnsi="宋体" w:eastAsia="宋体" w:cs="宋体"/>
        <w:b/>
        <w:bCs/>
        <w:color w:val="005192"/>
        <w:sz w:val="28"/>
        <w:szCs w:val="44"/>
      </w:rPr>
      <w:t xml:space="preserve">铁岭市水利局发布     </w:t>
    </w:r>
  </w:p>
  <w:p w14:paraId="6F820B1C">
    <w:pPr>
      <w:pStyle w:val="2"/>
      <w:wordWrap w:val="0"/>
      <w:ind w:left="4788" w:leftChars="2280" w:firstLine="5622" w:firstLineChars="2000"/>
      <w:jc w:val="right"/>
      <w:rPr>
        <w:rFonts w:ascii="宋体" w:hAnsi="宋体" w:eastAsia="宋体" w:cs="宋体"/>
        <w:b/>
        <w:bCs/>
        <w:color w:val="005192"/>
        <w:sz w:val="28"/>
        <w:szCs w:val="44"/>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EEE438A">
    <w:pPr>
      <w:pStyle w:val="2"/>
      <w:textAlignment w:val="center"/>
      <w:rPr>
        <w:rFonts w:ascii="宋体" w:hAnsi="宋体" w:eastAsia="宋体" w:cs="宋体"/>
        <w:b/>
        <w:bCs/>
        <w:color w:val="005192"/>
        <w:sz w:val="32"/>
      </w:rPr>
    </w:pPr>
    <w:r>
      <w:rPr>
        <w:rFonts w:ascii="宋体" w:hAnsi="宋体" w:eastAsia="宋体" w:cs="宋体"/>
        <w:b/>
        <w:bCs/>
        <w:color w:val="005192"/>
        <w:sz w:val="32"/>
      </w:rPr>
      <mc:AlternateContent>
        <mc:Choice Requires="wps">
          <w:drawing>
            <wp:anchor distT="0" distB="0" distL="114300" distR="114300" simplePos="0" relativeHeight="251659264" behindDoc="0" locked="0" layoutInCell="1" allowOverlap="1">
              <wp:simplePos x="0" y="0"/>
              <wp:positionH relativeFrom="column">
                <wp:posOffset>-3810</wp:posOffset>
              </wp:positionH>
              <wp:positionV relativeFrom="paragraph">
                <wp:posOffset>690245</wp:posOffset>
              </wp:positionV>
              <wp:extent cx="5620385" cy="0"/>
              <wp:effectExtent l="0" t="10795" r="18415" b="17780"/>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noFill/>
                      <a:ln w="22225" cap="flat" cmpd="sng" algn="ctr">
                        <a:solidFill>
                          <a:srgbClr val="005192"/>
                        </a:solidFill>
                        <a:prstDash val="solid"/>
                        <a:miter lim="800000"/>
                      </a:ln>
                      <a:effectLst/>
                    </wps:spPr>
                    <wps:bodyPr/>
                  </wps:wsp>
                </a:graphicData>
              </a:graphic>
            </wp:anchor>
          </w:drawing>
        </mc:Choice>
        <mc:Fallback>
          <w:pict>
            <v:line id="_x0000_s1026" o:spid="_x0000_s1026" o:spt="20" style="position:absolute;left:0pt;margin-left:-0.3pt;margin-top:54.35pt;height:0pt;width:442.55pt;z-index:251659264;mso-width-relative:page;mso-height-relative:page;" filled="f" stroked="t" coordsize="21600,21600" o:gfxdata="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DUR0DW1QAAAAkBAAAPAAAAAAAAAAEAIAAAACIAAABkcnMvZG93bnJldi54bWxQSwEC&#10;FAAUAAAACACHTuJApSLLs/cBAADLAwAADgAAAAAAAAABACAAAAAkAQAAZHJzL2Uyb0RvYy54bWxQ&#10;SwUGAAAAAAYABgBZAQAAjQUAAAAA&#10;">
              <v:fill on="f" focussize="0,0"/>
              <v:stroke weight="1.75pt" color="#005192" miterlimit="8" joinstyle="miter"/>
              <v:imagedata o:title=""/>
              <o:lock v:ext="edit" aspectratio="f"/>
            </v:line>
          </w:pict>
        </mc:Fallback>
      </mc:AlternateContent>
    </w:r>
  </w:p>
  <w:p w14:paraId="52D9F688">
    <w:pPr>
      <w:pStyle w:val="2"/>
      <w:textAlignment w:val="center"/>
      <w:rPr>
        <w:rFonts w:hint="eastAsia" w:ascii="宋体" w:hAnsi="宋体" w:eastAsia="宋体" w:cs="宋体"/>
        <w:b/>
        <w:bCs/>
        <w:color w:val="005192"/>
        <w:sz w:val="32"/>
        <w:szCs w:val="32"/>
      </w:rPr>
    </w:pPr>
    <w:r>
      <w:rPr>
        <w:rFonts w:hint="eastAsia" w:ascii="宋体" w:hAnsi="宋体" w:eastAsia="宋体" w:cs="宋体"/>
        <w:b/>
        <w:bCs/>
        <w:color w:val="005192"/>
        <w:sz w:val="32"/>
      </w:rPr>
      <w:drawing>
        <wp:inline distT="0" distB="0" distL="114300" distR="114300">
          <wp:extent cx="308610" cy="308610"/>
          <wp:effectExtent l="0" t="0" r="11430" b="11430"/>
          <wp:docPr id="6"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szCs w:val="32"/>
      </w:rPr>
      <w:t>铁岭市行政规范性文件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U2YzNlMzk5OWMxNjMxOTI3ZTNmODcwNjAyZWVmODYifQ=="/>
  </w:docVars>
  <w:rsids>
    <w:rsidRoot w:val="00172A27"/>
    <w:rsid w:val="000E1DB2"/>
    <w:rsid w:val="00172A27"/>
    <w:rsid w:val="00212AE5"/>
    <w:rsid w:val="002B722C"/>
    <w:rsid w:val="002F2540"/>
    <w:rsid w:val="00327076"/>
    <w:rsid w:val="0034053C"/>
    <w:rsid w:val="003D476A"/>
    <w:rsid w:val="00490E35"/>
    <w:rsid w:val="006F2F0E"/>
    <w:rsid w:val="00881281"/>
    <w:rsid w:val="00A951CF"/>
    <w:rsid w:val="00B2580B"/>
    <w:rsid w:val="00BB2D06"/>
    <w:rsid w:val="00D84724"/>
    <w:rsid w:val="00FD3E48"/>
    <w:rsid w:val="019E71BD"/>
    <w:rsid w:val="04B679C3"/>
    <w:rsid w:val="07DD06DB"/>
    <w:rsid w:val="080F63D8"/>
    <w:rsid w:val="08466339"/>
    <w:rsid w:val="09341458"/>
    <w:rsid w:val="0B0912D7"/>
    <w:rsid w:val="106C7D74"/>
    <w:rsid w:val="129B27B5"/>
    <w:rsid w:val="152D2DCA"/>
    <w:rsid w:val="1DEC284C"/>
    <w:rsid w:val="1E6523AC"/>
    <w:rsid w:val="22440422"/>
    <w:rsid w:val="26432DF7"/>
    <w:rsid w:val="28B01054"/>
    <w:rsid w:val="2A8D2A75"/>
    <w:rsid w:val="31A15F24"/>
    <w:rsid w:val="395347B5"/>
    <w:rsid w:val="39A232A0"/>
    <w:rsid w:val="39E745AA"/>
    <w:rsid w:val="3B5A6BBB"/>
    <w:rsid w:val="3C1079C4"/>
    <w:rsid w:val="3E687EA1"/>
    <w:rsid w:val="3ED06C72"/>
    <w:rsid w:val="3EDA13A6"/>
    <w:rsid w:val="42F058B7"/>
    <w:rsid w:val="436109F6"/>
    <w:rsid w:val="4396596F"/>
    <w:rsid w:val="441A38D4"/>
    <w:rsid w:val="44A04BF1"/>
    <w:rsid w:val="477B13FA"/>
    <w:rsid w:val="4A1B150C"/>
    <w:rsid w:val="4BC77339"/>
    <w:rsid w:val="4C9236C5"/>
    <w:rsid w:val="505C172E"/>
    <w:rsid w:val="52F46F0B"/>
    <w:rsid w:val="53D8014D"/>
    <w:rsid w:val="53DD0CD4"/>
    <w:rsid w:val="54F74066"/>
    <w:rsid w:val="55E064E0"/>
    <w:rsid w:val="572C6D10"/>
    <w:rsid w:val="57794396"/>
    <w:rsid w:val="578E7DC8"/>
    <w:rsid w:val="5CC75C73"/>
    <w:rsid w:val="5D97453E"/>
    <w:rsid w:val="5DC34279"/>
    <w:rsid w:val="608816D1"/>
    <w:rsid w:val="60EF4E7F"/>
    <w:rsid w:val="63B65C4B"/>
    <w:rsid w:val="665233C1"/>
    <w:rsid w:val="68D92243"/>
    <w:rsid w:val="6AD9688B"/>
    <w:rsid w:val="6B243793"/>
    <w:rsid w:val="6D0E3F22"/>
    <w:rsid w:val="6D274D1F"/>
    <w:rsid w:val="704B0140"/>
    <w:rsid w:val="7C9011D9"/>
    <w:rsid w:val="7DC651C5"/>
    <w:rsid w:val="7DFB4CC1"/>
    <w:rsid w:val="7FCC283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9">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3">
    <w:name w:val="annotation text"/>
    <w:basedOn w:val="1"/>
    <w:qFormat/>
    <w:uiPriority w:val="0"/>
    <w:pPr>
      <w:jc w:val="left"/>
    </w:pPr>
  </w:style>
  <w:style w:type="paragraph" w:styleId="4">
    <w:name w:val="Balloon Text"/>
    <w:basedOn w:val="1"/>
    <w:link w:val="13"/>
    <w:qFormat/>
    <w:uiPriority w:val="0"/>
    <w:rPr>
      <w:sz w:val="18"/>
      <w:szCs w:val="18"/>
    </w:rPr>
  </w:style>
  <w:style w:type="paragraph" w:styleId="5">
    <w:name w:val="footer"/>
    <w:basedOn w:val="1"/>
    <w:qFormat/>
    <w:uiPriority w:val="0"/>
    <w:pPr>
      <w:tabs>
        <w:tab w:val="center" w:pos="4153"/>
        <w:tab w:val="right" w:pos="8306"/>
      </w:tabs>
      <w:snapToGrid w:val="0"/>
      <w:jc w:val="left"/>
    </w:pPr>
    <w:rPr>
      <w:sz w:val="18"/>
    </w:rPr>
  </w:style>
  <w:style w:type="paragraph" w:styleId="6">
    <w:name w:val="Normal (Web)"/>
    <w:basedOn w:val="1"/>
    <w:unhideWhenUsed/>
    <w:qFormat/>
    <w:uiPriority w:val="99"/>
    <w:pPr>
      <w:widowControl/>
      <w:spacing w:before="100" w:beforeAutospacing="1" w:after="100" w:afterAutospacing="1"/>
      <w:jc w:val="left"/>
    </w:pPr>
    <w:rPr>
      <w:rFonts w:ascii="宋体" w:hAnsi="宋体" w:eastAsia="宋体" w:cs="宋体"/>
      <w:kern w:val="0"/>
      <w:sz w:val="24"/>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Strong"/>
    <w:basedOn w:val="9"/>
    <w:qFormat/>
    <w:uiPriority w:val="22"/>
    <w:rPr>
      <w:b/>
      <w:bCs/>
    </w:rPr>
  </w:style>
  <w:style w:type="character" w:styleId="11">
    <w:name w:val="Hyperlink"/>
    <w:basedOn w:val="9"/>
    <w:uiPriority w:val="0"/>
    <w:rPr>
      <w:color w:val="0000FF"/>
      <w:u w:val="single"/>
    </w:rPr>
  </w:style>
  <w:style w:type="character" w:styleId="12">
    <w:name w:val="annotation reference"/>
    <w:basedOn w:val="9"/>
    <w:uiPriority w:val="0"/>
    <w:rPr>
      <w:sz w:val="21"/>
      <w:szCs w:val="21"/>
    </w:rPr>
  </w:style>
  <w:style w:type="character" w:customStyle="1" w:styleId="13">
    <w:name w:val="批注框文本 Char"/>
    <w:basedOn w:val="9"/>
    <w:link w:val="4"/>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1FEA471-2F9E-44BA-B090-04DADCFC2826}">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5</Pages>
  <Words>1899</Words>
  <Characters>1914</Characters>
  <Lines>25</Lines>
  <Paragraphs>7</Paragraphs>
  <TotalTime>38</TotalTime>
  <ScaleCrop>false</ScaleCrop>
  <LinksUpToDate>false</LinksUpToDate>
  <CharactersWithSpaces>2010</CharactersWithSpaces>
  <Application>WPS Office_12.1.0.17133_F1E327BC-269C-435d-A152-05C5408002CA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2021-11-24T01:49:00Z</dcterms:created>
  <dc:creator>t</dc:creator>
  <cp:lastModifiedBy>Administrator</cp:lastModifiedBy>
  <cp:lastPrinted>2021-10-26T03:30:00Z</cp:lastPrinted>
  <dcterms:modified xsi:type="dcterms:W3CDTF">2024-07-12T02:40:23Z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2052-12.1.0.17133</vt:lpwstr>
  </property>
  <property fmtid="{D5CDD505-2E9C-101B-9397-08002B2CF9AE}" pid="3" name="ICV">
    <vt:lpwstr>48C61CB29D3F4D9384F5922CF0F7FFB4</vt:lpwstr>
  </property>
</Properties>
</file>