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sz w:val="44"/>
          <w:szCs w:val="44"/>
        </w:rPr>
      </w:pPr>
    </w:p>
    <w:p>
      <w:pPr>
        <w:rPr>
          <w:rFonts w:asciiTheme="minorEastAsia" w:hAnsiTheme="minorEastAsia" w:cstheme="minorEastAsia"/>
          <w:sz w:val="44"/>
          <w:szCs w:val="44"/>
        </w:rPr>
      </w:pPr>
    </w:p>
    <w:p>
      <w:pPr>
        <w:jc w:val="center"/>
        <w:rPr>
          <w:rFonts w:hint="eastAsia" w:asciiTheme="minorEastAsia" w:hAnsiTheme="minorEastAsia" w:cstheme="minorEastAsia"/>
          <w:sz w:val="44"/>
          <w:szCs w:val="44"/>
        </w:rPr>
      </w:pPr>
    </w:p>
    <w:p>
      <w:pPr>
        <w:jc w:val="center"/>
        <w:rPr>
          <w:rFonts w:hint="eastAsia" w:asciiTheme="minorEastAsia" w:hAnsiTheme="minorEastAsia" w:cstheme="minorEastAsia"/>
          <w:sz w:val="44"/>
          <w:szCs w:val="44"/>
        </w:rPr>
      </w:pPr>
      <w:r>
        <w:rPr>
          <w:rFonts w:hint="eastAsia" w:asciiTheme="minorEastAsia" w:hAnsiTheme="minorEastAsia" w:cstheme="minorEastAsia"/>
          <w:sz w:val="44"/>
          <w:szCs w:val="44"/>
        </w:rPr>
        <w:t>铁岭市粮食应急保障企业管理细则</w:t>
      </w:r>
    </w:p>
    <w:p>
      <w:pPr>
        <w:rPr>
          <w:rFonts w:ascii="宋体" w:hAnsi="宋体" w:eastAsia="宋体" w:cs="宋体"/>
          <w:color w:val="333333"/>
          <w:sz w:val="36"/>
          <w:szCs w:val="36"/>
          <w:shd w:val="clear" w:color="auto" w:fill="FFFFFF"/>
        </w:rPr>
      </w:pPr>
    </w:p>
    <w:p>
      <w:pPr>
        <w:rPr>
          <w:rFonts w:ascii="宋体" w:hAnsi="宋体" w:eastAsia="宋体" w:cs="宋体"/>
          <w:color w:val="333333"/>
          <w:sz w:val="36"/>
          <w:szCs w:val="36"/>
          <w:shd w:val="clear" w:color="auto" w:fill="FFFFFF"/>
        </w:rPr>
      </w:pPr>
    </w:p>
    <w:p>
      <w:pPr>
        <w:jc w:val="center"/>
        <w:rPr>
          <w:rFonts w:hint="eastAsia" w:ascii="宋体" w:hAnsi="宋体" w:eastAsia="宋体" w:cs="宋体"/>
          <w:b/>
          <w:bCs/>
          <w:sz w:val="28"/>
          <w:szCs w:val="28"/>
        </w:rPr>
      </w:pPr>
      <w:r>
        <w:rPr>
          <w:rFonts w:hint="eastAsia" w:ascii="仿宋" w:hAnsi="仿宋" w:eastAsia="仿宋"/>
          <w:sz w:val="32"/>
          <w:szCs w:val="32"/>
        </w:rPr>
        <w:t>（2023年2月17日铁发改粮食储〔2023〕34号发布，自2023年2月17日起施行）</w:t>
      </w:r>
    </w:p>
    <w:p>
      <w:pPr>
        <w:jc w:val="center"/>
        <w:rPr>
          <w:rFonts w:hint="eastAsia" w:ascii="仿宋" w:hAnsi="仿宋" w:eastAsia="仿宋"/>
          <w:sz w:val="32"/>
          <w:szCs w:val="32"/>
        </w:rPr>
      </w:pPr>
      <w:r>
        <w:rPr>
          <w:rFonts w:hint="eastAsia" w:ascii="仿宋" w:hAnsi="仿宋" w:eastAsia="仿宋"/>
          <w:sz w:val="32"/>
          <w:szCs w:val="32"/>
        </w:rPr>
        <w:t>第一章  总  则</w:t>
      </w:r>
    </w:p>
    <w:p>
      <w:pPr>
        <w:rPr>
          <w:rFonts w:hint="eastAsia" w:ascii="仿宋" w:hAnsi="仿宋" w:eastAsia="仿宋"/>
          <w:sz w:val="32"/>
          <w:szCs w:val="32"/>
        </w:rPr>
      </w:pPr>
      <w:r>
        <w:rPr>
          <w:rFonts w:hint="eastAsia" w:ascii="仿宋" w:hAnsi="仿宋" w:eastAsia="仿宋"/>
          <w:sz w:val="32"/>
          <w:szCs w:val="32"/>
        </w:rPr>
        <w:t>　　第一条  为进一步加强全市粮食应急保障体系建设，完善辖区内粮食应急保障企业布局，规范粮食应急保障企业管理，确保在应急状态下有效发挥粮食应急保障作用，依据《中华人民共和国突发事件应对法》、《中华人民共和国安全生产法》、《粮食流通管理条例》、《铁岭市突发事件总体应急预案》等有关法律法规，参照国家粮食和储备局印发《粮食应急保障企业管理办法》，制定本管理细则。</w:t>
      </w:r>
    </w:p>
    <w:p>
      <w:pPr>
        <w:rPr>
          <w:rFonts w:hint="eastAsia" w:ascii="仿宋" w:hAnsi="仿宋" w:eastAsia="仿宋"/>
          <w:sz w:val="32"/>
          <w:szCs w:val="32"/>
        </w:rPr>
      </w:pPr>
      <w:r>
        <w:rPr>
          <w:rFonts w:hint="eastAsia" w:ascii="仿宋" w:hAnsi="仿宋" w:eastAsia="仿宋"/>
          <w:sz w:val="32"/>
          <w:szCs w:val="32"/>
        </w:rPr>
        <w:t>　　第二条</w:t>
      </w:r>
      <w:r>
        <w:rPr>
          <w:rFonts w:hint="eastAsia" w:ascii="仿宋" w:hAnsi="仿宋" w:eastAsia="仿宋"/>
          <w:sz w:val="32"/>
          <w:szCs w:val="32"/>
          <w:lang w:val="en-US" w:eastAsia="zh-CN"/>
        </w:rPr>
        <w:t xml:space="preserve"> </w:t>
      </w:r>
      <w:r>
        <w:rPr>
          <w:rFonts w:hint="eastAsia" w:ascii="仿宋" w:hAnsi="仿宋" w:eastAsia="仿宋"/>
          <w:sz w:val="32"/>
          <w:szCs w:val="32"/>
        </w:rPr>
        <w:t>本细则所规定的粮食应急保障企业，是指经国家、省、市、县四级粮食和储备行政管理部门确定，承担所在地区粮食（含食用油）应急保障任务的企业，包括应急储运企业、应急加工企业、应急配送中心、应急供应网点和应急保障中心五种类型。</w:t>
      </w:r>
    </w:p>
    <w:p>
      <w:pPr>
        <w:rPr>
          <w:rFonts w:hint="eastAsia" w:ascii="仿宋" w:hAnsi="仿宋" w:eastAsia="仿宋"/>
          <w:sz w:val="32"/>
          <w:szCs w:val="32"/>
        </w:rPr>
      </w:pPr>
      <w:r>
        <w:rPr>
          <w:rFonts w:hint="eastAsia" w:ascii="仿宋" w:hAnsi="仿宋" w:eastAsia="仿宋"/>
          <w:sz w:val="32"/>
          <w:szCs w:val="32"/>
        </w:rPr>
        <w:t>　　第三条 按照“以人为本、生命至上，党委领导、政府负责，科学布局、全面覆盖，平时自营、急时应急”的要求，充分整合现有资源，统筹规划应急储运、加工、配送、供应网点布局，建立和完善响应迅速、运转高效、保障有力的粮食应急保障体系。</w:t>
      </w:r>
    </w:p>
    <w:p>
      <w:pPr>
        <w:rPr>
          <w:rFonts w:hint="eastAsia" w:ascii="仿宋" w:hAnsi="仿宋" w:eastAsia="仿宋"/>
          <w:sz w:val="32"/>
          <w:szCs w:val="32"/>
        </w:rPr>
      </w:pPr>
      <w:r>
        <w:rPr>
          <w:rFonts w:hint="eastAsia" w:ascii="仿宋" w:hAnsi="仿宋" w:eastAsia="仿宋"/>
          <w:sz w:val="32"/>
          <w:szCs w:val="32"/>
        </w:rPr>
        <w:t>　　第四条 粮食应急保障企业的管理，应坚持动员推荐、择优确定，分级负责、逐级备案，动态管理、强化监管的原则，充分发挥各级粮食应急保障企业在应急保供中的示范带动作用。</w:t>
      </w:r>
    </w:p>
    <w:p>
      <w:pPr>
        <w:rPr>
          <w:rFonts w:hint="eastAsia" w:ascii="仿宋" w:hAnsi="仿宋" w:eastAsia="仿宋"/>
          <w:sz w:val="32"/>
          <w:szCs w:val="32"/>
        </w:rPr>
      </w:pPr>
      <w:r>
        <w:rPr>
          <w:rFonts w:hint="eastAsia" w:ascii="仿宋" w:hAnsi="仿宋" w:eastAsia="仿宋"/>
          <w:sz w:val="32"/>
          <w:szCs w:val="32"/>
        </w:rPr>
        <w:t>　　第五条 粮食应急保障企业的有关信息应主动公开，法律法规规定不予公开的除外。</w:t>
      </w:r>
    </w:p>
    <w:p>
      <w:pPr>
        <w:jc w:val="center"/>
        <w:rPr>
          <w:rFonts w:hint="eastAsia" w:ascii="仿宋" w:hAnsi="仿宋" w:eastAsia="仿宋"/>
          <w:sz w:val="32"/>
          <w:szCs w:val="32"/>
        </w:rPr>
      </w:pPr>
      <w:r>
        <w:rPr>
          <w:rFonts w:hint="eastAsia" w:ascii="仿宋" w:hAnsi="仿宋" w:eastAsia="仿宋"/>
          <w:sz w:val="32"/>
          <w:szCs w:val="32"/>
        </w:rPr>
        <w:t>第二章 规划布局</w:t>
      </w:r>
    </w:p>
    <w:p>
      <w:pPr>
        <w:rPr>
          <w:rFonts w:hint="eastAsia" w:ascii="仿宋" w:hAnsi="仿宋" w:eastAsia="仿宋"/>
          <w:sz w:val="32"/>
          <w:szCs w:val="32"/>
        </w:rPr>
      </w:pPr>
      <w:r>
        <w:rPr>
          <w:rFonts w:hint="eastAsia" w:ascii="仿宋" w:hAnsi="仿宋" w:eastAsia="仿宋"/>
          <w:sz w:val="32"/>
          <w:szCs w:val="32"/>
        </w:rPr>
        <w:t>　　第六条  全市对于粮食应急储运企业的总体规划，要求各县（市）区在现有企业的基础上，原则上做到只增不减，不断完善和优化辖区内供应急储运企业布局。</w:t>
      </w:r>
    </w:p>
    <w:p>
      <w:pPr>
        <w:rPr>
          <w:rFonts w:hint="eastAsia" w:ascii="仿宋" w:hAnsi="仿宋" w:eastAsia="仿宋"/>
          <w:sz w:val="32"/>
          <w:szCs w:val="32"/>
        </w:rPr>
      </w:pPr>
      <w:r>
        <w:rPr>
          <w:rFonts w:hint="eastAsia" w:ascii="仿宋" w:hAnsi="仿宋" w:eastAsia="仿宋"/>
          <w:sz w:val="32"/>
          <w:szCs w:val="32"/>
        </w:rPr>
        <w:t>　　对于储运企业设置，应以承担中央事权、地方事权粮食收储轮换任务的企业为主，同时择优选择一批符合应急储运企业条件和标准的企业，提升整体粮食应急储运能力。</w:t>
      </w:r>
    </w:p>
    <w:p>
      <w:pPr>
        <w:rPr>
          <w:rFonts w:hint="eastAsia" w:ascii="仿宋" w:hAnsi="仿宋" w:eastAsia="仿宋"/>
          <w:sz w:val="32"/>
          <w:szCs w:val="32"/>
        </w:rPr>
      </w:pPr>
      <w:r>
        <w:rPr>
          <w:rFonts w:hint="eastAsia" w:ascii="仿宋" w:hAnsi="仿宋" w:eastAsia="仿宋"/>
          <w:sz w:val="32"/>
          <w:szCs w:val="32"/>
        </w:rPr>
        <w:t>　　第七条  对于粮食应急加工企业总体规划，要求各县（市）区在2023年底前，至少完成1个县级应急加工企业的建设任务。</w:t>
      </w:r>
    </w:p>
    <w:p>
      <w:pPr>
        <w:rPr>
          <w:rFonts w:hint="eastAsia" w:ascii="仿宋" w:hAnsi="仿宋" w:eastAsia="仿宋"/>
          <w:sz w:val="32"/>
          <w:szCs w:val="32"/>
        </w:rPr>
      </w:pPr>
      <w:r>
        <w:rPr>
          <w:rFonts w:hint="eastAsia" w:ascii="仿宋" w:hAnsi="仿宋" w:eastAsia="仿宋"/>
          <w:sz w:val="32"/>
          <w:szCs w:val="32"/>
        </w:rPr>
        <w:t>　　粮食应急加工企业设置，可综合辖区内现有粮食应急加工企业，适当增加应急加工企业数量，确保应急加工能力与应急供应需求相适应。选择粮食应急加工企业时，应优先选择具备小包装粮油生产能力和承担军粮加工等任务的企业，以更好地满足应急供应和质量安全的需要，同时，要加强应急加工企业质量保障能力建设，逐步建立可追溯制度，确保供应粮食质量安全。</w:t>
      </w:r>
    </w:p>
    <w:p>
      <w:pPr>
        <w:rPr>
          <w:rFonts w:hint="eastAsia" w:ascii="仿宋" w:hAnsi="仿宋" w:eastAsia="仿宋"/>
          <w:sz w:val="32"/>
          <w:szCs w:val="32"/>
        </w:rPr>
      </w:pPr>
      <w:r>
        <w:rPr>
          <w:rFonts w:hint="eastAsia" w:ascii="仿宋" w:hAnsi="仿宋" w:eastAsia="仿宋"/>
          <w:sz w:val="32"/>
          <w:szCs w:val="32"/>
        </w:rPr>
        <w:t>　　第八条  对于粮食应急配送中心的总体规划，要求各县（市）区在现有企业的基础上，原则上做到只增不减，不断完善和优化辖区内应急配送中心布局。</w:t>
      </w:r>
    </w:p>
    <w:p>
      <w:pPr>
        <w:rPr>
          <w:rFonts w:hint="eastAsia" w:ascii="仿宋" w:hAnsi="仿宋" w:eastAsia="仿宋"/>
          <w:sz w:val="32"/>
          <w:szCs w:val="32"/>
        </w:rPr>
      </w:pPr>
      <w:r>
        <w:rPr>
          <w:rFonts w:hint="eastAsia" w:ascii="仿宋" w:hAnsi="仿宋" w:eastAsia="仿宋"/>
          <w:sz w:val="32"/>
          <w:szCs w:val="32"/>
        </w:rPr>
        <w:t>　　对粮食应急配送中心设置，要以现有成品粮油批发市场、粮油物流配送中心、国有粮食购销企业中心库、骨干军粮供应站（配送中心、储备库）等为依托，改造、建设一批区域性粮食应急配送中心，增加必要的应急运输等保障设施，提高粮食应急配送能力。同时，鼓励有条件的地区建立储运、加工、配送一体化的应急配送示范企业，完善粮食应急储运网络，合理确定部分应急储运企业，做好应急粮食的调运准备。</w:t>
      </w:r>
    </w:p>
    <w:p>
      <w:pPr>
        <w:rPr>
          <w:rFonts w:hint="eastAsia" w:ascii="仿宋" w:hAnsi="仿宋" w:eastAsia="仿宋"/>
          <w:sz w:val="32"/>
          <w:szCs w:val="32"/>
        </w:rPr>
      </w:pPr>
      <w:r>
        <w:rPr>
          <w:rFonts w:hint="eastAsia" w:ascii="仿宋" w:hAnsi="仿宋" w:eastAsia="仿宋"/>
          <w:sz w:val="32"/>
          <w:szCs w:val="32"/>
        </w:rPr>
        <w:t>　　第九条  对于粮食应急供应网点的总体规划，要求各县（市）区原则上做到只增不减，以现有粮食应急供应网点为基础，进一步扩大粮食应急供应网点覆盖范围，确保每个乡镇（农垦系统农场）、街道（社区）至少有 1 个应急供应点，城市人口集中的社区要确保每3万人至少有1个应急供应点，实现应急供应网点城乡全面覆盖，辐射所有村屯和社区。</w:t>
      </w:r>
    </w:p>
    <w:p>
      <w:pPr>
        <w:rPr>
          <w:rFonts w:hint="eastAsia" w:ascii="仿宋" w:hAnsi="仿宋" w:eastAsia="仿宋"/>
          <w:sz w:val="32"/>
          <w:szCs w:val="32"/>
        </w:rPr>
      </w:pPr>
      <w:r>
        <w:rPr>
          <w:rFonts w:hint="eastAsia" w:ascii="仿宋" w:hAnsi="仿宋" w:eastAsia="仿宋"/>
          <w:sz w:val="32"/>
          <w:szCs w:val="32"/>
        </w:rPr>
        <w:t>　　各县（市）区对粮食应急供应网点的设置应充分利用和整合现有资源，以现有粮食应急供应点、军粮供应站（点）、成品粮批发市场、放心粮油店、粮油平价店为重点，完善设施，健全制度，加强管理，提高应急功能。各地也可因地制宜，依托政府投资扶持建设的社区菜市场、万村千乡市场工程连锁店、大众主食厨房等便民平台，增设应急粮食销售柜台，承担应急粮油供应任务。</w:t>
      </w:r>
    </w:p>
    <w:p>
      <w:pPr>
        <w:rPr>
          <w:rFonts w:hint="eastAsia" w:ascii="仿宋" w:hAnsi="仿宋" w:eastAsia="仿宋"/>
          <w:sz w:val="32"/>
          <w:szCs w:val="32"/>
        </w:rPr>
      </w:pPr>
      <w:r>
        <w:rPr>
          <w:rFonts w:hint="eastAsia" w:ascii="仿宋" w:hAnsi="仿宋" w:eastAsia="仿宋"/>
          <w:sz w:val="32"/>
          <w:szCs w:val="32"/>
        </w:rPr>
        <w:t>　　第十条  全市对于粮食应急保障中心总体规划，要求各县（市）区在2023年底前，至少完成1个县级应急保障中心的建设任务。</w:t>
      </w:r>
    </w:p>
    <w:p>
      <w:pPr>
        <w:rPr>
          <w:rFonts w:hint="eastAsia" w:ascii="仿宋" w:hAnsi="仿宋" w:eastAsia="仿宋"/>
          <w:sz w:val="32"/>
          <w:szCs w:val="32"/>
        </w:rPr>
      </w:pPr>
      <w:r>
        <w:rPr>
          <w:rFonts w:hint="eastAsia" w:ascii="仿宋" w:hAnsi="仿宋" w:eastAsia="仿宋"/>
          <w:sz w:val="32"/>
          <w:szCs w:val="32"/>
        </w:rPr>
        <w:t>　　粮食应急保障中心应满足仓储、加工、运输、供应中两个以上功能指标。</w:t>
      </w:r>
    </w:p>
    <w:p>
      <w:pPr>
        <w:jc w:val="center"/>
        <w:rPr>
          <w:rFonts w:hint="eastAsia" w:ascii="仿宋" w:hAnsi="仿宋" w:eastAsia="仿宋"/>
          <w:sz w:val="32"/>
          <w:szCs w:val="32"/>
        </w:rPr>
      </w:pPr>
      <w:r>
        <w:rPr>
          <w:rFonts w:hint="eastAsia" w:ascii="仿宋" w:hAnsi="仿宋" w:eastAsia="仿宋"/>
          <w:sz w:val="32"/>
          <w:szCs w:val="32"/>
        </w:rPr>
        <w:t>第三章 条件和标准</w:t>
      </w:r>
    </w:p>
    <w:p>
      <w:pPr>
        <w:rPr>
          <w:rFonts w:hint="eastAsia" w:ascii="仿宋" w:hAnsi="仿宋" w:eastAsia="仿宋"/>
          <w:sz w:val="32"/>
          <w:szCs w:val="32"/>
        </w:rPr>
      </w:pPr>
      <w:r>
        <w:rPr>
          <w:rFonts w:hint="eastAsia" w:ascii="仿宋" w:hAnsi="仿宋" w:eastAsia="仿宋"/>
          <w:sz w:val="32"/>
          <w:szCs w:val="32"/>
        </w:rPr>
        <w:t>　　第十一条  粮食应急保障企业应具备以下基本条件：</w:t>
      </w:r>
    </w:p>
    <w:p>
      <w:pPr>
        <w:rPr>
          <w:rFonts w:hint="eastAsia" w:ascii="仿宋" w:hAnsi="仿宋" w:eastAsia="仿宋"/>
          <w:sz w:val="32"/>
          <w:szCs w:val="32"/>
        </w:rPr>
      </w:pPr>
      <w:r>
        <w:rPr>
          <w:rFonts w:hint="eastAsia" w:ascii="仿宋" w:hAnsi="仿宋" w:eastAsia="仿宋"/>
          <w:sz w:val="32"/>
          <w:szCs w:val="32"/>
        </w:rPr>
        <w:t>　　（一）严格执行国家有关法律法规和政策规定，依法、诚信经营，具有良好信誉，无违法经营行为；</w:t>
      </w:r>
    </w:p>
    <w:p>
      <w:pPr>
        <w:rPr>
          <w:rFonts w:hint="eastAsia" w:ascii="仿宋" w:hAnsi="仿宋" w:eastAsia="仿宋"/>
          <w:sz w:val="32"/>
          <w:szCs w:val="32"/>
        </w:rPr>
      </w:pPr>
      <w:r>
        <w:rPr>
          <w:rFonts w:hint="eastAsia" w:ascii="仿宋" w:hAnsi="仿宋" w:eastAsia="仿宋"/>
          <w:sz w:val="32"/>
          <w:szCs w:val="32"/>
        </w:rPr>
        <w:t>　　（二）生产经营的粮食产品质量指标和食品安全指标应符合国家标准、行业标准，近一年内未发生质量安全事故或在抽检抽样中未出现不达标的情况；</w:t>
      </w:r>
    </w:p>
    <w:p>
      <w:pPr>
        <w:rPr>
          <w:rFonts w:hint="eastAsia" w:ascii="仿宋" w:hAnsi="仿宋" w:eastAsia="仿宋"/>
          <w:sz w:val="32"/>
          <w:szCs w:val="32"/>
        </w:rPr>
      </w:pPr>
      <w:r>
        <w:rPr>
          <w:rFonts w:hint="eastAsia" w:ascii="仿宋" w:hAnsi="仿宋" w:eastAsia="仿宋"/>
          <w:sz w:val="32"/>
          <w:szCs w:val="32"/>
        </w:rPr>
        <w:t>　　（三）生产经营环境符合要求，严格落实污染防护有关规定，相关措施和设备能够确保粮食不受到污染；</w:t>
      </w:r>
    </w:p>
    <w:p>
      <w:pPr>
        <w:rPr>
          <w:rFonts w:hint="eastAsia" w:ascii="仿宋" w:hAnsi="仿宋" w:eastAsia="仿宋"/>
          <w:sz w:val="32"/>
          <w:szCs w:val="32"/>
        </w:rPr>
      </w:pPr>
      <w:r>
        <w:rPr>
          <w:rFonts w:hint="eastAsia" w:ascii="仿宋" w:hAnsi="仿宋" w:eastAsia="仿宋"/>
          <w:sz w:val="32"/>
          <w:szCs w:val="32"/>
        </w:rPr>
        <w:t>　　（四）严格落实安全生产有关规定，近一年内未发生安全生产责任事故或存在重大安全生产隐患。</w:t>
      </w:r>
    </w:p>
    <w:p>
      <w:pPr>
        <w:rPr>
          <w:rFonts w:hint="eastAsia" w:ascii="仿宋" w:hAnsi="仿宋" w:eastAsia="仿宋"/>
          <w:sz w:val="32"/>
          <w:szCs w:val="32"/>
        </w:rPr>
      </w:pPr>
      <w:r>
        <w:rPr>
          <w:rFonts w:hint="eastAsia" w:ascii="仿宋" w:hAnsi="仿宋" w:eastAsia="仿宋"/>
          <w:sz w:val="32"/>
          <w:szCs w:val="32"/>
        </w:rPr>
        <w:t>　　第十二条  粮食应急储运企业应以承担中央事权、地方事权粮食收储轮换任务为主；具备符合国家要求的原粮和成品粮储存仓库和设施，仓库使用面积应满足需要，库房硬件条件应符合储存要求；区位条件能够较好满足当地成品粮油储备和运输配送需要，具备一定的运输配送能力。</w:t>
      </w:r>
    </w:p>
    <w:p>
      <w:pPr>
        <w:rPr>
          <w:rFonts w:hint="eastAsia" w:ascii="仿宋" w:hAnsi="仿宋" w:eastAsia="仿宋"/>
          <w:sz w:val="32"/>
          <w:szCs w:val="32"/>
        </w:rPr>
      </w:pPr>
      <w:r>
        <w:rPr>
          <w:rFonts w:hint="eastAsia" w:ascii="仿宋" w:hAnsi="仿宋" w:eastAsia="仿宋"/>
          <w:sz w:val="32"/>
          <w:szCs w:val="32"/>
        </w:rPr>
        <w:t>　　第十三条  粮食应急加工企业应具备较强的粮食应急加工能力和小包装粮油生产能力；具备一定储存、运输能力；具备生产合格产品所需的工艺设备、检化验仪器和检化验能力；从业人员应具备岗位所需的国家职业资格。</w:t>
      </w:r>
    </w:p>
    <w:p>
      <w:pPr>
        <w:rPr>
          <w:rFonts w:hint="eastAsia" w:ascii="仿宋" w:hAnsi="仿宋" w:eastAsia="仿宋"/>
          <w:sz w:val="32"/>
          <w:szCs w:val="32"/>
        </w:rPr>
      </w:pPr>
      <w:r>
        <w:rPr>
          <w:rFonts w:hint="eastAsia" w:ascii="仿宋" w:hAnsi="仿宋" w:eastAsia="仿宋"/>
          <w:sz w:val="32"/>
          <w:szCs w:val="32"/>
        </w:rPr>
        <w:t>　　第十四条  粮食应急配送中心应具备较强的配送能力，有满足配送需要的运输和装卸设施，有较成熟的配送资源和渠道；配送能力符合应急布局需要，在应急状态下具备较强的动员调度能力，能够高效定点配送粮食；具备一定的周转仓容，仓库应符合国家分类商品的仓储条件；有满足配送业务需要的厢式密闭运货车辆及停车场，有必要的叉车和输送机械等装卸设备。</w:t>
      </w:r>
    </w:p>
    <w:p>
      <w:pPr>
        <w:rPr>
          <w:rFonts w:hint="eastAsia" w:ascii="仿宋" w:hAnsi="仿宋" w:eastAsia="仿宋"/>
          <w:sz w:val="32"/>
          <w:szCs w:val="32"/>
        </w:rPr>
      </w:pPr>
      <w:r>
        <w:rPr>
          <w:rFonts w:hint="eastAsia" w:ascii="仿宋" w:hAnsi="仿宋" w:eastAsia="仿宋"/>
          <w:sz w:val="32"/>
          <w:szCs w:val="32"/>
        </w:rPr>
        <w:t>　　第十五条  粮食应急供应网点应位于物流配送和居民采购均较为便利的位置；经营商品应以粮油产品和居民日用消费品为主，销售的商品均应明码标价，具备与经营商品和规模相匹配的陈列货架或柜台，营业场所内装修简洁，店内通风、明亮，营业面积、仓储能力和库房条件满足应急供应需要；配备满足经营需要的网络及通讯等设施。</w:t>
      </w:r>
    </w:p>
    <w:p>
      <w:pPr>
        <w:rPr>
          <w:rFonts w:hint="eastAsia" w:ascii="仿宋" w:hAnsi="仿宋" w:eastAsia="仿宋"/>
          <w:sz w:val="32"/>
          <w:szCs w:val="32"/>
        </w:rPr>
      </w:pPr>
      <w:r>
        <w:rPr>
          <w:rFonts w:hint="eastAsia" w:ascii="仿宋" w:hAnsi="仿宋" w:eastAsia="仿宋"/>
          <w:sz w:val="32"/>
          <w:szCs w:val="32"/>
        </w:rPr>
        <w:t>　　第十六条  粮食应急保障中心应具备粮油储存、物流配送、供应、加工等多种功能，应满足仓储、加工、运输、供应中两个以上功能指标；具备一定规模的成品粮油储备库存；具备较强的应急调度功能和动员能力，确保在接到应急指令后按时限要求将成品粮油配送至指定的应急供应网点。</w:t>
      </w:r>
    </w:p>
    <w:p>
      <w:pPr>
        <w:rPr>
          <w:rFonts w:hint="eastAsia" w:ascii="仿宋" w:hAnsi="仿宋" w:eastAsia="仿宋"/>
          <w:sz w:val="32"/>
          <w:szCs w:val="32"/>
        </w:rPr>
      </w:pPr>
      <w:r>
        <w:rPr>
          <w:rFonts w:hint="eastAsia" w:ascii="仿宋" w:hAnsi="仿宋" w:eastAsia="仿宋"/>
          <w:sz w:val="32"/>
          <w:szCs w:val="32"/>
        </w:rPr>
        <w:t>　　第十七条  各级粮食应急保障企业应具备的应急储运、加工、配送、供应等能力，详见有关标准（附件1）。</w:t>
      </w:r>
    </w:p>
    <w:p>
      <w:pPr>
        <w:rPr>
          <w:rFonts w:hint="eastAsia" w:ascii="仿宋" w:hAnsi="仿宋" w:eastAsia="仿宋"/>
          <w:sz w:val="32"/>
          <w:szCs w:val="32"/>
        </w:rPr>
      </w:pPr>
      <w:r>
        <w:rPr>
          <w:rFonts w:hint="eastAsia" w:ascii="仿宋" w:hAnsi="仿宋" w:eastAsia="仿宋"/>
          <w:sz w:val="32"/>
          <w:szCs w:val="32"/>
        </w:rPr>
        <w:t>　　第十八条  各县（市）区粮食和储备行政管理部门可结合本地实际和应对特定突发事件需要，参照第十一至十七条规定的条件和标准，制定适合本辖区的粮食应急保障企业的条件、标准和布局规划。</w:t>
      </w:r>
    </w:p>
    <w:p>
      <w:pPr>
        <w:jc w:val="center"/>
        <w:rPr>
          <w:rFonts w:hint="eastAsia" w:ascii="仿宋" w:hAnsi="仿宋" w:eastAsia="仿宋"/>
          <w:sz w:val="32"/>
          <w:szCs w:val="32"/>
        </w:rPr>
      </w:pPr>
      <w:r>
        <w:rPr>
          <w:rFonts w:hint="eastAsia" w:ascii="仿宋" w:hAnsi="仿宋" w:eastAsia="仿宋"/>
          <w:sz w:val="32"/>
          <w:szCs w:val="32"/>
        </w:rPr>
        <w:t>第四章确定和备案程序</w:t>
      </w:r>
    </w:p>
    <w:p>
      <w:pPr>
        <w:rPr>
          <w:rFonts w:hint="eastAsia" w:ascii="仿宋" w:hAnsi="仿宋" w:eastAsia="仿宋"/>
          <w:sz w:val="32"/>
          <w:szCs w:val="32"/>
        </w:rPr>
      </w:pPr>
      <w:r>
        <w:rPr>
          <w:rFonts w:hint="eastAsia" w:ascii="仿宋" w:hAnsi="仿宋" w:eastAsia="仿宋"/>
          <w:sz w:val="32"/>
          <w:szCs w:val="32"/>
        </w:rPr>
        <w:t>　　第十九条  粮食应急保障企业的确定和备案工作，应坚持公平公开、科学规范、高效便捷的原则。</w:t>
      </w:r>
    </w:p>
    <w:p>
      <w:pPr>
        <w:rPr>
          <w:rFonts w:hint="eastAsia" w:ascii="仿宋" w:hAnsi="仿宋" w:eastAsia="仿宋"/>
          <w:sz w:val="32"/>
          <w:szCs w:val="32"/>
        </w:rPr>
      </w:pPr>
      <w:r>
        <w:rPr>
          <w:rFonts w:hint="eastAsia" w:ascii="仿宋" w:hAnsi="仿宋" w:eastAsia="仿宋"/>
          <w:sz w:val="32"/>
          <w:szCs w:val="32"/>
        </w:rPr>
        <w:t>　　第二十条  粮食应急保障企业的确定和备案的主要步骤：</w:t>
      </w:r>
    </w:p>
    <w:p>
      <w:pPr>
        <w:rPr>
          <w:rFonts w:hint="eastAsia" w:ascii="仿宋" w:hAnsi="仿宋" w:eastAsia="仿宋"/>
          <w:sz w:val="32"/>
          <w:szCs w:val="32"/>
        </w:rPr>
      </w:pPr>
      <w:r>
        <w:rPr>
          <w:rFonts w:hint="eastAsia" w:ascii="仿宋" w:hAnsi="仿宋" w:eastAsia="仿宋"/>
          <w:sz w:val="32"/>
          <w:szCs w:val="32"/>
        </w:rPr>
        <w:t>　　（一）企业申报。包括自主申报和部门推荐两种方式。每年底，县级粮食和储备行政管理部门按照粮食应急工作实际和布局规划，可积极组织动员辖区内综合实力和应急保供能力较强、经营情况良好、符合布局要求、具备社会责任感的涉粮企业，自主申报特定类型的粮食应急保障企业；也可在涉粮企业自愿的前提下，择优推荐。</w:t>
      </w:r>
    </w:p>
    <w:p>
      <w:pPr>
        <w:rPr>
          <w:rFonts w:hint="eastAsia" w:ascii="仿宋" w:hAnsi="仿宋" w:eastAsia="仿宋"/>
          <w:sz w:val="32"/>
          <w:szCs w:val="32"/>
        </w:rPr>
      </w:pPr>
      <w:r>
        <w:rPr>
          <w:rFonts w:hint="eastAsia" w:ascii="仿宋" w:hAnsi="仿宋" w:eastAsia="仿宋"/>
          <w:sz w:val="32"/>
          <w:szCs w:val="32"/>
        </w:rPr>
        <w:t>　　（二）初步确定。县级粮食和储备行政管理部门应对申报企业信息严格把关，统筹考虑有关条件和标准，粮食应急保障规划布局等，择优初步确定粮食应急保障企业。</w:t>
      </w:r>
    </w:p>
    <w:p>
      <w:pPr>
        <w:rPr>
          <w:rFonts w:hint="eastAsia" w:ascii="仿宋" w:hAnsi="仿宋" w:eastAsia="仿宋"/>
          <w:sz w:val="32"/>
          <w:szCs w:val="32"/>
        </w:rPr>
      </w:pPr>
      <w:r>
        <w:rPr>
          <w:rFonts w:hint="eastAsia" w:ascii="仿宋" w:hAnsi="仿宋" w:eastAsia="仿宋"/>
          <w:sz w:val="32"/>
          <w:szCs w:val="32"/>
        </w:rPr>
        <w:t>　　（三）实地查看。市级粮食和储备行政管理部门可对县级初步确定企业的储运、加工、配送和供应条件等进行实地查看，也可委托县级粮食和储备行政管理部门代为实地查看，应重点核查企业报送信息的真实性。实地查看期间，发现企业有资料弄虚作假或其他不符合要求情形的，不得作为确定对象。实地查看无异议的，按程序确定为粮食应急保障企业。</w:t>
      </w:r>
    </w:p>
    <w:p>
      <w:pPr>
        <w:rPr>
          <w:rFonts w:hint="eastAsia" w:ascii="仿宋" w:hAnsi="仿宋" w:eastAsia="仿宋"/>
          <w:sz w:val="32"/>
          <w:szCs w:val="32"/>
        </w:rPr>
      </w:pPr>
      <w:r>
        <w:rPr>
          <w:rFonts w:hint="eastAsia" w:ascii="仿宋" w:hAnsi="仿宋" w:eastAsia="仿宋"/>
          <w:sz w:val="32"/>
          <w:szCs w:val="32"/>
        </w:rPr>
        <w:t>　　（四）签订协议。市县两级粮食和储备行政管理部门应与确定的粮食应急保障企业签订对应等级的《粮食应急保障协议书》（附件2），约定权利、责任、义务，并授予牌匾。确定的粮食应急保障企业名单等信息应在本地范围内公开。</w:t>
      </w:r>
    </w:p>
    <w:p>
      <w:pPr>
        <w:rPr>
          <w:rFonts w:hint="eastAsia" w:ascii="仿宋" w:hAnsi="仿宋" w:eastAsia="仿宋"/>
          <w:sz w:val="32"/>
          <w:szCs w:val="32"/>
        </w:rPr>
      </w:pPr>
      <w:r>
        <w:rPr>
          <w:rFonts w:hint="eastAsia" w:ascii="仿宋" w:hAnsi="仿宋" w:eastAsia="仿宋"/>
          <w:sz w:val="32"/>
          <w:szCs w:val="32"/>
        </w:rPr>
        <w:t>　　（五）逐级备案。粮食应急保障企业信息应采取书面方式，逐级备案至国家粮食和物资储备局。备案完成后，应及时通过粮食应急保障信息系统录入企业信息，逐级提交至国家粮食和物资储备局。</w:t>
      </w:r>
    </w:p>
    <w:p>
      <w:pPr>
        <w:rPr>
          <w:rFonts w:hint="eastAsia" w:ascii="仿宋" w:hAnsi="仿宋" w:eastAsia="仿宋"/>
          <w:sz w:val="32"/>
          <w:szCs w:val="32"/>
        </w:rPr>
      </w:pPr>
      <w:r>
        <w:rPr>
          <w:rFonts w:hint="eastAsia" w:ascii="仿宋" w:hAnsi="仿宋" w:eastAsia="仿宋"/>
          <w:sz w:val="32"/>
          <w:szCs w:val="32"/>
        </w:rPr>
        <w:t>　　第二十一条  各县（市）区可结合实际，在第二十条规定步骤的基础上，进一步优化完善程序，确保科学、高效、便捷。</w:t>
      </w:r>
    </w:p>
    <w:p>
      <w:pPr>
        <w:jc w:val="center"/>
        <w:rPr>
          <w:rFonts w:hint="eastAsia" w:ascii="仿宋" w:hAnsi="仿宋" w:eastAsia="仿宋"/>
          <w:sz w:val="32"/>
          <w:szCs w:val="32"/>
        </w:rPr>
      </w:pPr>
      <w:r>
        <w:rPr>
          <w:rFonts w:hint="eastAsia" w:ascii="仿宋" w:hAnsi="仿宋" w:eastAsia="仿宋"/>
          <w:sz w:val="32"/>
          <w:szCs w:val="32"/>
        </w:rPr>
        <w:t>第五章</w:t>
      </w:r>
      <w:r>
        <w:rPr>
          <w:rFonts w:hint="eastAsia" w:ascii="仿宋" w:hAnsi="仿宋" w:eastAsia="仿宋"/>
          <w:sz w:val="32"/>
          <w:szCs w:val="32"/>
          <w:lang w:val="en-US" w:eastAsia="zh-CN"/>
        </w:rPr>
        <w:t xml:space="preserve"> </w:t>
      </w:r>
      <w:r>
        <w:rPr>
          <w:rFonts w:hint="eastAsia" w:ascii="仿宋" w:hAnsi="仿宋" w:eastAsia="仿宋"/>
          <w:sz w:val="32"/>
          <w:szCs w:val="32"/>
        </w:rPr>
        <w:t>日常管理和监督</w:t>
      </w:r>
    </w:p>
    <w:p>
      <w:pPr>
        <w:rPr>
          <w:rFonts w:hint="eastAsia" w:ascii="仿宋" w:hAnsi="仿宋" w:eastAsia="仿宋"/>
          <w:sz w:val="32"/>
          <w:szCs w:val="32"/>
        </w:rPr>
      </w:pPr>
      <w:r>
        <w:rPr>
          <w:rFonts w:hint="eastAsia" w:ascii="仿宋" w:hAnsi="仿宋" w:eastAsia="仿宋"/>
          <w:sz w:val="32"/>
          <w:szCs w:val="32"/>
        </w:rPr>
        <w:t>　　第二十二条  县级粮食和储备行政管理部门应加强对粮食应急保障企业的日常管理和监督，协调解决应急准备或应急保供中存在的困难，督促其落实责任、义务，完成应急任务。</w:t>
      </w:r>
    </w:p>
    <w:p>
      <w:pPr>
        <w:rPr>
          <w:rFonts w:hint="eastAsia" w:ascii="仿宋" w:hAnsi="仿宋" w:eastAsia="仿宋"/>
          <w:sz w:val="32"/>
          <w:szCs w:val="32"/>
        </w:rPr>
      </w:pPr>
      <w:r>
        <w:rPr>
          <w:rFonts w:hint="eastAsia" w:ascii="仿宋" w:hAnsi="仿宋" w:eastAsia="仿宋"/>
          <w:sz w:val="32"/>
          <w:szCs w:val="32"/>
        </w:rPr>
        <w:t>　　第二十三条  各级粮食和储备行政管理部门应按照时间节点动态维护企业信息。每季度末，各地通过粮食应急保障信息系统，更新粮食应急保障企业信息或对企业进行调整（新增或退出）。其他时间段，有企业信息更新或调整需求的，需要逐级书面请示，国家粮食和物资储备局同意后，登陆粮食应急保障信息系统进行操作。</w:t>
      </w:r>
    </w:p>
    <w:p>
      <w:pPr>
        <w:rPr>
          <w:rFonts w:hint="eastAsia" w:ascii="仿宋" w:hAnsi="仿宋" w:eastAsia="仿宋"/>
          <w:sz w:val="32"/>
          <w:szCs w:val="32"/>
        </w:rPr>
      </w:pPr>
      <w:r>
        <w:rPr>
          <w:rFonts w:hint="eastAsia" w:ascii="仿宋" w:hAnsi="仿宋" w:eastAsia="仿宋"/>
          <w:sz w:val="32"/>
          <w:szCs w:val="32"/>
        </w:rPr>
        <w:t>　　各级粮食和储备行政管理部门对粮食应急保障企业数据的使用，应符合数据管理有关规定。</w:t>
      </w:r>
    </w:p>
    <w:p>
      <w:pPr>
        <w:rPr>
          <w:rFonts w:hint="eastAsia" w:ascii="仿宋" w:hAnsi="仿宋" w:eastAsia="仿宋"/>
          <w:sz w:val="32"/>
          <w:szCs w:val="32"/>
        </w:rPr>
      </w:pPr>
      <w:r>
        <w:rPr>
          <w:rFonts w:hint="eastAsia" w:ascii="仿宋" w:hAnsi="仿宋" w:eastAsia="仿宋"/>
          <w:sz w:val="32"/>
          <w:szCs w:val="32"/>
        </w:rPr>
        <w:t>　　第二十四条  各级粮食和储备行政管理部门应结合实际研究制定具体扶持政策，积极协调有关部门，在粮食等重要农产品仓储设施专项、优质粮食工程、粮食风险基金、信贷支持行动等项目资金中为符合条件的粮食应急保障企业争取支持。</w:t>
      </w:r>
    </w:p>
    <w:p>
      <w:pPr>
        <w:rPr>
          <w:rFonts w:hint="eastAsia" w:ascii="仿宋" w:hAnsi="仿宋" w:eastAsia="仿宋"/>
          <w:sz w:val="32"/>
          <w:szCs w:val="32"/>
        </w:rPr>
      </w:pPr>
      <w:r>
        <w:rPr>
          <w:rFonts w:hint="eastAsia" w:ascii="仿宋" w:hAnsi="仿宋" w:eastAsia="仿宋"/>
          <w:sz w:val="32"/>
          <w:szCs w:val="32"/>
        </w:rPr>
        <w:t>　　各级粮食和储备行政管理部门每年应至少组织一次调研活动，了解粮食应急保障企业的应急准备情况，听取意见建议，协调解决困难。</w:t>
      </w:r>
    </w:p>
    <w:p>
      <w:pPr>
        <w:rPr>
          <w:rFonts w:hint="eastAsia" w:ascii="仿宋" w:hAnsi="仿宋" w:eastAsia="仿宋"/>
          <w:sz w:val="32"/>
          <w:szCs w:val="32"/>
        </w:rPr>
      </w:pPr>
      <w:r>
        <w:rPr>
          <w:rFonts w:hint="eastAsia" w:ascii="仿宋" w:hAnsi="仿宋" w:eastAsia="仿宋"/>
          <w:sz w:val="32"/>
          <w:szCs w:val="32"/>
        </w:rPr>
        <w:t>　　第二十五条  各级粮食和储备行政管理部门应加强应急演练和培训，制定计划并组织实施，引导粮食应急保障企业学习借鉴成熟有效的粮油应急保供经验，增强应急保供能力。</w:t>
      </w:r>
    </w:p>
    <w:p>
      <w:pPr>
        <w:rPr>
          <w:rFonts w:hint="eastAsia" w:ascii="仿宋" w:hAnsi="仿宋" w:eastAsia="仿宋"/>
          <w:sz w:val="32"/>
          <w:szCs w:val="32"/>
        </w:rPr>
      </w:pPr>
      <w:r>
        <w:rPr>
          <w:rFonts w:hint="eastAsia" w:ascii="仿宋" w:hAnsi="仿宋" w:eastAsia="仿宋"/>
          <w:sz w:val="32"/>
          <w:szCs w:val="32"/>
        </w:rPr>
        <w:t>　　第二十六条  各级粮食和储备行政管理部门应积极推进信息化建设，加强粮食应急指挥调度，统筹用好“中国好粮油电子交易平台”等资源，有效提升粮食应急保障信息化水平。</w:t>
      </w:r>
    </w:p>
    <w:p>
      <w:pPr>
        <w:rPr>
          <w:rFonts w:hint="eastAsia" w:ascii="仿宋" w:hAnsi="仿宋" w:eastAsia="仿宋"/>
          <w:sz w:val="32"/>
          <w:szCs w:val="32"/>
        </w:rPr>
      </w:pPr>
      <w:r>
        <w:rPr>
          <w:rFonts w:hint="eastAsia" w:ascii="仿宋" w:hAnsi="仿宋" w:eastAsia="仿宋"/>
          <w:sz w:val="32"/>
          <w:szCs w:val="32"/>
        </w:rPr>
        <w:t>　　第二十七条  县级粮食和储备行政管理部门应依照企业的申报材料，每三年对粮食应急保障企业的应急保障能力、生产经营能力、承担社会责任、企业生产资料类固定资产投资建设和应急配套设施设备等情况进行评估。</w:t>
      </w:r>
    </w:p>
    <w:p>
      <w:pPr>
        <w:rPr>
          <w:rFonts w:hint="eastAsia" w:ascii="仿宋" w:hAnsi="仿宋" w:eastAsia="仿宋"/>
          <w:sz w:val="32"/>
          <w:szCs w:val="32"/>
        </w:rPr>
      </w:pPr>
      <w:r>
        <w:rPr>
          <w:rFonts w:hint="eastAsia" w:ascii="仿宋" w:hAnsi="仿宋" w:eastAsia="仿宋"/>
          <w:sz w:val="32"/>
          <w:szCs w:val="32"/>
        </w:rPr>
        <w:t>　　第二十八条  县级粮食和储备行政管理部门应结合每年粮食应急保障企业的确定工作，有计划地对已签订协议的企业责任义务落实情况进行现场检查。同时，市级粮食和储备行政管理部门应对县级粮食应急保障企业进行抽查，原则上每年抽查不少于一次。</w:t>
      </w:r>
    </w:p>
    <w:p>
      <w:pPr>
        <w:rPr>
          <w:rFonts w:hint="eastAsia" w:ascii="仿宋" w:hAnsi="仿宋" w:eastAsia="仿宋"/>
          <w:sz w:val="32"/>
          <w:szCs w:val="32"/>
        </w:rPr>
      </w:pPr>
      <w:r>
        <w:rPr>
          <w:rFonts w:hint="eastAsia" w:ascii="仿宋" w:hAnsi="仿宋" w:eastAsia="仿宋"/>
          <w:sz w:val="32"/>
          <w:szCs w:val="32"/>
        </w:rPr>
        <w:t>　　第二十九条  各级粮食和储备行政管理部门在定期评估和监督检查中发现企业落实应急保障责任义务不到位、企业资质和应急保障能力明显不符合有关条件和标准等情形的，应责令其限期整改。</w:t>
      </w:r>
    </w:p>
    <w:p>
      <w:pPr>
        <w:rPr>
          <w:rFonts w:hint="eastAsia" w:ascii="仿宋" w:hAnsi="仿宋" w:eastAsia="仿宋"/>
          <w:sz w:val="32"/>
          <w:szCs w:val="32"/>
        </w:rPr>
      </w:pPr>
      <w:r>
        <w:rPr>
          <w:rFonts w:hint="eastAsia" w:ascii="仿宋" w:hAnsi="仿宋" w:eastAsia="仿宋"/>
          <w:sz w:val="32"/>
          <w:szCs w:val="32"/>
        </w:rPr>
        <w:t>　　企业出现以下情形之一的，应终止协议，收回牌匾，并按程序及时补充新的粮食应急保障企业：</w:t>
      </w:r>
    </w:p>
    <w:p>
      <w:pPr>
        <w:rPr>
          <w:rFonts w:hint="eastAsia" w:ascii="仿宋" w:hAnsi="仿宋" w:eastAsia="仿宋"/>
          <w:sz w:val="32"/>
          <w:szCs w:val="32"/>
        </w:rPr>
      </w:pPr>
      <w:r>
        <w:rPr>
          <w:rFonts w:hint="eastAsia" w:ascii="仿宋" w:hAnsi="仿宋" w:eastAsia="仿宋"/>
          <w:sz w:val="32"/>
          <w:szCs w:val="32"/>
        </w:rPr>
        <w:t>　　（一）在粮食和储备行政管理部门责令限期整改后，整改不到位的；</w:t>
      </w:r>
    </w:p>
    <w:p>
      <w:pPr>
        <w:rPr>
          <w:rFonts w:hint="eastAsia" w:ascii="仿宋" w:hAnsi="仿宋" w:eastAsia="仿宋"/>
          <w:sz w:val="32"/>
          <w:szCs w:val="32"/>
        </w:rPr>
      </w:pPr>
      <w:r>
        <w:rPr>
          <w:rFonts w:hint="eastAsia" w:ascii="仿宋" w:hAnsi="仿宋" w:eastAsia="仿宋"/>
          <w:sz w:val="32"/>
          <w:szCs w:val="32"/>
        </w:rPr>
        <w:t>　　（二）通过隐瞒情况、提供虚假材料，或以欺骗、贿赂等不正当手段确定为粮食应急保障企业的；</w:t>
      </w:r>
    </w:p>
    <w:p>
      <w:pPr>
        <w:rPr>
          <w:rFonts w:hint="eastAsia" w:ascii="仿宋" w:hAnsi="仿宋" w:eastAsia="仿宋"/>
          <w:sz w:val="32"/>
          <w:szCs w:val="32"/>
        </w:rPr>
      </w:pPr>
      <w:r>
        <w:rPr>
          <w:rFonts w:hint="eastAsia" w:ascii="仿宋" w:hAnsi="仿宋" w:eastAsia="仿宋"/>
          <w:sz w:val="32"/>
          <w:szCs w:val="32"/>
        </w:rPr>
        <w:t>　　（三）发生重大变故或存在重大经营风险，影响企业正常经营的；</w:t>
      </w:r>
    </w:p>
    <w:p>
      <w:pPr>
        <w:rPr>
          <w:rFonts w:hint="eastAsia" w:ascii="仿宋" w:hAnsi="仿宋" w:eastAsia="仿宋"/>
          <w:sz w:val="32"/>
          <w:szCs w:val="32"/>
        </w:rPr>
      </w:pPr>
      <w:r>
        <w:rPr>
          <w:rFonts w:hint="eastAsia" w:ascii="仿宋" w:hAnsi="仿宋" w:eastAsia="仿宋"/>
          <w:sz w:val="32"/>
          <w:szCs w:val="32"/>
        </w:rPr>
        <w:t>　　（四）违反粮食生产、流通和储备等相关规定的；</w:t>
      </w:r>
    </w:p>
    <w:p>
      <w:pPr>
        <w:rPr>
          <w:rFonts w:hint="eastAsia" w:ascii="仿宋" w:hAnsi="仿宋" w:eastAsia="仿宋"/>
          <w:sz w:val="32"/>
          <w:szCs w:val="32"/>
        </w:rPr>
      </w:pPr>
      <w:r>
        <w:rPr>
          <w:rFonts w:hint="eastAsia" w:ascii="仿宋" w:hAnsi="仿宋" w:eastAsia="仿宋"/>
          <w:sz w:val="32"/>
          <w:szCs w:val="32"/>
        </w:rPr>
        <w:t>　　（五）造成生产安全事故或存在重大生产安全隐患的；</w:t>
      </w:r>
    </w:p>
    <w:p>
      <w:pPr>
        <w:rPr>
          <w:rFonts w:hint="eastAsia" w:ascii="仿宋" w:hAnsi="仿宋" w:eastAsia="仿宋"/>
          <w:sz w:val="32"/>
          <w:szCs w:val="32"/>
        </w:rPr>
      </w:pPr>
      <w:r>
        <w:rPr>
          <w:rFonts w:hint="eastAsia" w:ascii="仿宋" w:hAnsi="仿宋" w:eastAsia="仿宋"/>
          <w:sz w:val="32"/>
          <w:szCs w:val="32"/>
        </w:rPr>
        <w:t>　　（六）企业因故被列入不良信用记录的；</w:t>
      </w:r>
    </w:p>
    <w:p>
      <w:pPr>
        <w:rPr>
          <w:rFonts w:hint="eastAsia" w:ascii="仿宋" w:hAnsi="仿宋" w:eastAsia="仿宋"/>
          <w:sz w:val="32"/>
          <w:szCs w:val="32"/>
        </w:rPr>
      </w:pPr>
      <w:r>
        <w:rPr>
          <w:rFonts w:hint="eastAsia" w:ascii="仿宋" w:hAnsi="仿宋" w:eastAsia="仿宋"/>
          <w:sz w:val="32"/>
          <w:szCs w:val="32"/>
        </w:rPr>
        <w:t>　　（七）在粮食应急保供中不服从有关部门的统一安排调度，拒不执行应急保供任务，或执行不力，落实任务不到位的；</w:t>
      </w:r>
    </w:p>
    <w:p>
      <w:pPr>
        <w:rPr>
          <w:rFonts w:hint="eastAsia" w:ascii="仿宋" w:hAnsi="仿宋" w:eastAsia="仿宋"/>
          <w:sz w:val="32"/>
          <w:szCs w:val="32"/>
        </w:rPr>
      </w:pPr>
      <w:r>
        <w:rPr>
          <w:rFonts w:hint="eastAsia" w:ascii="仿宋" w:hAnsi="仿宋" w:eastAsia="仿宋"/>
          <w:sz w:val="32"/>
          <w:szCs w:val="32"/>
        </w:rPr>
        <w:t>　　（八）对粮食应急保供工作造成危害的其他行为的。</w:t>
      </w:r>
    </w:p>
    <w:p>
      <w:pPr>
        <w:jc w:val="center"/>
        <w:rPr>
          <w:rFonts w:hint="eastAsia" w:ascii="仿宋" w:hAnsi="仿宋" w:eastAsia="仿宋"/>
          <w:sz w:val="32"/>
          <w:szCs w:val="32"/>
        </w:rPr>
      </w:pPr>
      <w:r>
        <w:rPr>
          <w:rFonts w:hint="eastAsia" w:ascii="仿宋" w:hAnsi="仿宋" w:eastAsia="仿宋"/>
          <w:sz w:val="32"/>
          <w:szCs w:val="32"/>
        </w:rPr>
        <w:t>第六章责任与义务</w:t>
      </w:r>
    </w:p>
    <w:p>
      <w:pPr>
        <w:rPr>
          <w:rFonts w:hint="eastAsia" w:ascii="仿宋" w:hAnsi="仿宋" w:eastAsia="仿宋"/>
          <w:sz w:val="32"/>
          <w:szCs w:val="32"/>
        </w:rPr>
      </w:pPr>
      <w:r>
        <w:rPr>
          <w:rFonts w:hint="eastAsia" w:ascii="仿宋" w:hAnsi="仿宋" w:eastAsia="仿宋"/>
          <w:sz w:val="32"/>
          <w:szCs w:val="32"/>
        </w:rPr>
        <w:t>　　第三十条  市发改委（粮食和物资储备局）负责全市粮食应急保障体系总体规划和市级粮食应急保障企业的管理工作，对县级粮食应急工作进行业务指导和监督。县级粮食和储备行政管理部门负责辖区内粮食应急保障体系建设和粮食应急保障企业的管理工作，并结合地方实际完善粮食应急保障各环节功能，建成满足当地应急需求、优化协同高效的粮食应急保障网络。</w:t>
      </w:r>
    </w:p>
    <w:p>
      <w:pPr>
        <w:rPr>
          <w:rFonts w:hint="eastAsia" w:ascii="仿宋" w:hAnsi="仿宋" w:eastAsia="仿宋"/>
          <w:sz w:val="32"/>
          <w:szCs w:val="32"/>
        </w:rPr>
      </w:pPr>
      <w:r>
        <w:rPr>
          <w:rFonts w:hint="eastAsia" w:ascii="仿宋" w:hAnsi="仿宋" w:eastAsia="仿宋"/>
          <w:sz w:val="32"/>
          <w:szCs w:val="32"/>
        </w:rPr>
        <w:t>　　第三十一条  进入应急状态或启动粮食应急预案后，各级粮食和储备行政管理部门负责协调粮源调度以及储运、加工、配送、供应各环节有效衔接。</w:t>
      </w:r>
    </w:p>
    <w:p>
      <w:pPr>
        <w:rPr>
          <w:rFonts w:hint="eastAsia" w:ascii="仿宋" w:hAnsi="仿宋" w:eastAsia="仿宋"/>
          <w:sz w:val="32"/>
          <w:szCs w:val="32"/>
        </w:rPr>
      </w:pPr>
      <w:r>
        <w:rPr>
          <w:rFonts w:hint="eastAsia" w:ascii="仿宋" w:hAnsi="仿宋" w:eastAsia="仿宋"/>
          <w:sz w:val="32"/>
          <w:szCs w:val="32"/>
        </w:rPr>
        <w:t>　　第三十二条  粮食应急保障企业平时应按市场化运作，自主经营、自负盈亏；应急保供时应积极承担各项应急任务。</w:t>
      </w:r>
    </w:p>
    <w:p>
      <w:pPr>
        <w:rPr>
          <w:rFonts w:hint="eastAsia" w:ascii="仿宋" w:hAnsi="仿宋" w:eastAsia="仿宋"/>
          <w:sz w:val="32"/>
          <w:szCs w:val="32"/>
        </w:rPr>
      </w:pPr>
      <w:r>
        <w:rPr>
          <w:rFonts w:hint="eastAsia" w:ascii="仿宋" w:hAnsi="仿宋" w:eastAsia="仿宋"/>
          <w:sz w:val="32"/>
          <w:szCs w:val="32"/>
        </w:rPr>
        <w:t>　　第三十三条  粮食应急保障企业在平时应遵守粮食生产、流通、储备各项规定，主动接受粮食和储备行政管理部门的监督检查，出现涉及粮食应急保障的重大经营情况变动的应及时报告。进入粮食应急状态或启动粮食应急预案后，应严格遵守《粮食应急保障协议书》中约定的责任和义务，在有关部门的统一安排调度下，及时行动、履行协议，完成好各项粮食应急保障任务，确保各项措施有效落实。法律法规另有规定的，从其规定。</w:t>
      </w:r>
    </w:p>
    <w:p>
      <w:pPr>
        <w:jc w:val="center"/>
        <w:rPr>
          <w:rFonts w:hint="eastAsia" w:ascii="仿宋" w:hAnsi="仿宋" w:eastAsia="仿宋"/>
          <w:sz w:val="32"/>
          <w:szCs w:val="32"/>
        </w:rPr>
      </w:pPr>
      <w:r>
        <w:rPr>
          <w:rFonts w:hint="eastAsia" w:ascii="仿宋" w:hAnsi="仿宋" w:eastAsia="仿宋"/>
          <w:sz w:val="32"/>
          <w:szCs w:val="32"/>
        </w:rPr>
        <w:t>第七章</w:t>
      </w:r>
      <w:r>
        <w:rPr>
          <w:rFonts w:hint="eastAsia" w:ascii="仿宋" w:hAnsi="仿宋" w:eastAsia="仿宋"/>
          <w:sz w:val="32"/>
          <w:szCs w:val="32"/>
          <w:lang w:val="en-US" w:eastAsia="zh-CN"/>
        </w:rPr>
        <w:t xml:space="preserve"> </w:t>
      </w:r>
      <w:bookmarkStart w:id="0" w:name="_GoBack"/>
      <w:bookmarkEnd w:id="0"/>
      <w:r>
        <w:rPr>
          <w:rFonts w:hint="eastAsia" w:ascii="仿宋" w:hAnsi="仿宋" w:eastAsia="仿宋"/>
          <w:sz w:val="32"/>
          <w:szCs w:val="32"/>
        </w:rPr>
        <w:t>附 则</w:t>
      </w:r>
    </w:p>
    <w:p>
      <w:pPr>
        <w:rPr>
          <w:rFonts w:hint="eastAsia" w:ascii="仿宋" w:hAnsi="仿宋" w:eastAsia="仿宋"/>
          <w:sz w:val="32"/>
          <w:szCs w:val="32"/>
        </w:rPr>
      </w:pPr>
      <w:r>
        <w:rPr>
          <w:rFonts w:hint="eastAsia" w:ascii="仿宋" w:hAnsi="仿宋" w:eastAsia="仿宋"/>
          <w:sz w:val="32"/>
          <w:szCs w:val="32"/>
        </w:rPr>
        <w:t>　　第三十四条  县级粮食和储备行政管理部门应依据本细则，制定县级粮食应急保障企业管理细则，并报市级粮食和储备行政管理部门备案。</w:t>
      </w:r>
    </w:p>
    <w:p>
      <w:pPr>
        <w:rPr>
          <w:rFonts w:hint="eastAsia" w:ascii="仿宋" w:hAnsi="仿宋" w:eastAsia="仿宋"/>
          <w:sz w:val="32"/>
          <w:szCs w:val="32"/>
        </w:rPr>
      </w:pPr>
      <w:r>
        <w:rPr>
          <w:rFonts w:hint="eastAsia" w:ascii="仿宋" w:hAnsi="仿宋" w:eastAsia="仿宋"/>
          <w:sz w:val="32"/>
          <w:szCs w:val="32"/>
        </w:rPr>
        <w:t>　　第三十五条  各级粮食和储备行政管理部门根据国家粮食和物资储备局设计的粮食应急保障企业牌匾统一样式（附件2），负责本级粮食应急保障企业牌匾的制作和发放。</w:t>
      </w:r>
    </w:p>
    <w:p>
      <w:pPr>
        <w:rPr>
          <w:rFonts w:hint="eastAsia" w:ascii="仿宋" w:hAnsi="仿宋" w:eastAsia="仿宋"/>
          <w:sz w:val="32"/>
          <w:szCs w:val="32"/>
        </w:rPr>
      </w:pPr>
      <w:r>
        <w:rPr>
          <w:rFonts w:hint="eastAsia" w:ascii="仿宋" w:hAnsi="仿宋" w:eastAsia="仿宋"/>
          <w:sz w:val="32"/>
          <w:szCs w:val="32"/>
        </w:rPr>
        <w:t>　　第三十六条  其他承担粮食应急保障任务的非企业性质的社会主体，参照本细则管理。</w:t>
      </w:r>
    </w:p>
    <w:p>
      <w:pPr>
        <w:rPr>
          <w:rFonts w:hint="eastAsia" w:ascii="仿宋" w:hAnsi="仿宋" w:eastAsia="仿宋"/>
          <w:sz w:val="32"/>
          <w:szCs w:val="32"/>
        </w:rPr>
      </w:pPr>
      <w:r>
        <w:rPr>
          <w:rFonts w:hint="eastAsia" w:ascii="仿宋" w:hAnsi="仿宋" w:eastAsia="仿宋"/>
          <w:sz w:val="32"/>
          <w:szCs w:val="32"/>
        </w:rPr>
        <w:t>　　第三十七条 本细则由市发改委（粮食和物资储备局）负责解释，自印发之日起施行。</w:t>
      </w:r>
    </w:p>
    <w:p>
      <w:pPr>
        <w:rPr>
          <w:rFonts w:hint="eastAsia" w:ascii="仿宋" w:hAnsi="仿宋" w:eastAsia="仿宋"/>
          <w:sz w:val="32"/>
          <w:szCs w:val="32"/>
        </w:rPr>
      </w:pPr>
      <w:r>
        <w:rPr>
          <w:rFonts w:hint="eastAsia" w:ascii="仿宋" w:hAnsi="仿宋" w:eastAsia="仿宋"/>
          <w:sz w:val="32"/>
          <w:szCs w:val="32"/>
        </w:rPr>
        <w:t>　　附件：1.粮食应急保障企业标准</w:t>
      </w:r>
    </w:p>
    <w:p>
      <w:pPr>
        <w:rPr>
          <w:rFonts w:hint="eastAsia" w:ascii="仿宋" w:hAnsi="仿宋" w:eastAsia="仿宋"/>
          <w:sz w:val="32"/>
          <w:szCs w:val="32"/>
        </w:rPr>
      </w:pPr>
      <w:r>
        <w:rPr>
          <w:rFonts w:hint="eastAsia" w:ascii="仿宋" w:hAnsi="仿宋" w:eastAsia="仿宋"/>
          <w:sz w:val="32"/>
          <w:szCs w:val="32"/>
        </w:rPr>
        <w:t>　　2.《粮食应急保障协议书》</w:t>
      </w:r>
    </w:p>
    <w:p>
      <w:pPr>
        <w:rPr>
          <w:rFonts w:hint="eastAsia" w:ascii="仿宋" w:hAnsi="仿宋" w:eastAsia="仿宋"/>
          <w:sz w:val="32"/>
          <w:szCs w:val="32"/>
        </w:rPr>
      </w:pPr>
      <w:r>
        <w:rPr>
          <w:rFonts w:hint="eastAsia" w:ascii="仿宋" w:hAnsi="仿宋" w:eastAsia="仿宋"/>
          <w:sz w:val="32"/>
          <w:szCs w:val="32"/>
        </w:rPr>
        <w:t>　　3.牌匾样式</w:t>
      </w:r>
    </w:p>
    <w:p>
      <w:pPr>
        <w:ind w:firstLine="640"/>
        <w:jc w:val="left"/>
        <w:rPr>
          <w:rFonts w:hint="eastAsia" w:ascii="仿宋" w:hAnsi="仿宋" w:eastAsia="仿宋"/>
          <w:sz w:val="32"/>
          <w:szCs w:val="32"/>
        </w:rPr>
      </w:pPr>
    </w:p>
    <w:p>
      <w:pPr>
        <w:ind w:firstLine="640"/>
        <w:jc w:val="left"/>
        <w:rPr>
          <w:rFonts w:hint="eastAsia" w:ascii="仿宋" w:hAnsi="仿宋" w:eastAsia="仿宋"/>
          <w:sz w:val="32"/>
          <w:szCs w:val="32"/>
        </w:rPr>
      </w:pPr>
    </w:p>
    <w:p>
      <w:pPr>
        <w:ind w:firstLine="640"/>
        <w:jc w:val="both"/>
        <w:rPr>
          <w:rFonts w:hint="eastAsia" w:ascii="仿宋" w:hAnsi="仿宋" w:eastAsia="仿宋"/>
          <w:sz w:val="32"/>
          <w:szCs w:val="32"/>
        </w:rPr>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pPr>
    </w:p>
    <w:p>
      <w:pPr>
        <w:ind w:firstLine="640"/>
        <w:jc w:val="both"/>
        <w:rPr>
          <w:rFonts w:hint="eastAsia" w:ascii="仿宋" w:hAnsi="仿宋" w:eastAsia="仿宋"/>
          <w:sz w:val="32"/>
          <w:szCs w:val="32"/>
        </w:rPr>
      </w:pPr>
    </w:p>
    <w:p>
      <w:pPr>
        <w:pageBreakBefore w:val="0"/>
        <w:kinsoku/>
        <w:wordWrap/>
        <w:overflowPunct/>
        <w:topLinePunct w:val="0"/>
        <w:autoSpaceDE/>
        <w:autoSpaceDN/>
        <w:bidi w:val="0"/>
        <w:spacing w:line="560" w:lineRule="exact"/>
        <w:textAlignment w:val="auto"/>
        <w:rPr>
          <w:sz w:val="32"/>
          <w:szCs w:val="32"/>
        </w:rPr>
      </w:pPr>
      <w:r>
        <w:rPr>
          <w:rFonts w:ascii="黑体" w:hAnsi="黑体" w:eastAsia="黑体" w:cs="黑体"/>
          <w:sz w:val="32"/>
          <w:szCs w:val="32"/>
        </w:rPr>
        <w:t>附件1-1</w:t>
      </w:r>
    </w:p>
    <w:p>
      <w:pPr>
        <w:pStyle w:val="4"/>
        <w:pageBreakBefore w:val="0"/>
        <w:kinsoku/>
        <w:wordWrap/>
        <w:overflowPunct/>
        <w:topLinePunct w:val="0"/>
        <w:autoSpaceDE/>
        <w:autoSpaceDN/>
        <w:bidi w:val="0"/>
        <w:spacing w:after="0" w:line="560" w:lineRule="exact"/>
        <w:ind w:left="188" w:right="5"/>
        <w:textAlignment w:val="auto"/>
      </w:pPr>
      <w:r>
        <w:t>省级及以下粮食应急保障企业推荐标准</w:t>
      </w:r>
    </w:p>
    <w:p>
      <w:pPr>
        <w:pageBreakBefore w:val="0"/>
        <w:kinsoku/>
        <w:wordWrap/>
        <w:overflowPunct/>
        <w:topLinePunct w:val="0"/>
        <w:autoSpaceDE/>
        <w:autoSpaceDN/>
        <w:bidi w:val="0"/>
        <w:spacing w:line="240" w:lineRule="exact"/>
        <w:ind w:left="10" w:right="719"/>
        <w:jc w:val="right"/>
        <w:textAlignment w:val="auto"/>
      </w:pPr>
      <w:r>
        <w:rPr>
          <w:rFonts w:hint="eastAsia"/>
          <w:sz w:val="24"/>
          <w:lang w:val="en-US" w:eastAsia="zh-CN"/>
        </w:rPr>
        <w:t xml:space="preserve"> </w:t>
      </w:r>
      <w:r>
        <w:rPr>
          <w:sz w:val="24"/>
        </w:rPr>
        <w:t>单位：吨</w:t>
      </w:r>
    </w:p>
    <w:tbl>
      <w:tblPr>
        <w:tblStyle w:val="17"/>
        <w:tblpPr w:leftFromText="180" w:rightFromText="180" w:vertAnchor="text" w:horzAnchor="page" w:tblpX="2097" w:tblpY="2"/>
        <w:tblOverlap w:val="never"/>
        <w:tblW w:w="12721" w:type="dxa"/>
        <w:tblInd w:w="0" w:type="dxa"/>
        <w:tblLayout w:type="autofit"/>
        <w:tblCellMar>
          <w:top w:w="96" w:type="dxa"/>
          <w:left w:w="86" w:type="dxa"/>
          <w:bottom w:w="0" w:type="dxa"/>
          <w:right w:w="68" w:type="dxa"/>
        </w:tblCellMar>
      </w:tblPr>
      <w:tblGrid>
        <w:gridCol w:w="1085"/>
        <w:gridCol w:w="660"/>
        <w:gridCol w:w="1473"/>
        <w:gridCol w:w="1363"/>
        <w:gridCol w:w="1391"/>
        <w:gridCol w:w="1446"/>
        <w:gridCol w:w="1759"/>
        <w:gridCol w:w="1748"/>
        <w:gridCol w:w="1796"/>
      </w:tblGrid>
      <w:tr>
        <w:tblPrEx>
          <w:tblCellMar>
            <w:top w:w="96" w:type="dxa"/>
            <w:left w:w="86" w:type="dxa"/>
            <w:bottom w:w="0" w:type="dxa"/>
            <w:right w:w="68" w:type="dxa"/>
          </w:tblCellMar>
        </w:tblPrEx>
        <w:trPr>
          <w:trHeight w:val="459" w:hRule="atLeast"/>
        </w:trPr>
        <w:tc>
          <w:tcPr>
            <w:tcW w:w="1085" w:type="dxa"/>
            <w:vMerge w:val="restart"/>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168" w:firstLine="0"/>
              <w:jc w:val="center"/>
              <w:textAlignment w:val="auto"/>
              <w:rPr>
                <w:rFonts w:hint="eastAsia" w:ascii="宋体" w:hAnsi="宋体" w:eastAsia="宋体" w:cs="宋体"/>
                <w:sz w:val="21"/>
                <w:szCs w:val="21"/>
              </w:rPr>
            </w:pPr>
            <w:r>
              <w:rPr>
                <w:rFonts w:hint="eastAsia" w:ascii="宋体" w:hAnsi="宋体" w:eastAsia="宋体" w:cs="宋体"/>
                <w:sz w:val="21"/>
                <w:szCs w:val="21"/>
              </w:rPr>
              <w:t>区域</w:t>
            </w:r>
          </w:p>
        </w:tc>
        <w:tc>
          <w:tcPr>
            <w:tcW w:w="660" w:type="dxa"/>
            <w:vMerge w:val="restart"/>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级别</w:t>
            </w:r>
          </w:p>
        </w:tc>
        <w:tc>
          <w:tcPr>
            <w:tcW w:w="5673" w:type="dxa"/>
            <w:gridSpan w:val="4"/>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应急储运企业</w:t>
            </w:r>
          </w:p>
        </w:tc>
        <w:tc>
          <w:tcPr>
            <w:tcW w:w="5303" w:type="dxa"/>
            <w:gridSpan w:val="3"/>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righ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应急加工企业</w:t>
            </w:r>
          </w:p>
        </w:tc>
      </w:tr>
      <w:tr>
        <w:tblPrEx>
          <w:tblCellMar>
            <w:top w:w="96" w:type="dxa"/>
            <w:left w:w="86" w:type="dxa"/>
            <w:bottom w:w="0" w:type="dxa"/>
            <w:right w:w="68" w:type="dxa"/>
          </w:tblCellMar>
        </w:tblPrEx>
        <w:trPr>
          <w:trHeight w:val="628" w:hRule="atLeast"/>
        </w:trPr>
        <w:tc>
          <w:tcPr>
            <w:tcW w:w="1085" w:type="dxa"/>
            <w:vMerge w:val="continue"/>
            <w:tcBorders>
              <w:top w:val="nil"/>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p>
        </w:tc>
        <w:tc>
          <w:tcPr>
            <w:tcW w:w="660" w:type="dxa"/>
            <w:vMerge w:val="continue"/>
            <w:tcBorders>
              <w:top w:val="nil"/>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both"/>
              <w:textAlignment w:val="auto"/>
              <w:rPr>
                <w:rFonts w:hint="eastAsia" w:ascii="宋体" w:hAnsi="宋体" w:eastAsia="宋体" w:cs="宋体"/>
                <w:sz w:val="21"/>
                <w:szCs w:val="21"/>
              </w:rPr>
            </w:pPr>
          </w:p>
        </w:tc>
        <w:tc>
          <w:tcPr>
            <w:tcW w:w="1473"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125" w:firstLine="0"/>
              <w:jc w:val="center"/>
              <w:textAlignment w:val="auto"/>
              <w:rPr>
                <w:rFonts w:hint="eastAsia" w:ascii="宋体" w:hAnsi="宋体" w:eastAsia="宋体" w:cs="宋体"/>
                <w:sz w:val="21"/>
                <w:szCs w:val="21"/>
              </w:rPr>
            </w:pPr>
            <w:r>
              <w:rPr>
                <w:rFonts w:hint="eastAsia" w:ascii="宋体" w:hAnsi="宋体" w:eastAsia="宋体" w:cs="宋体"/>
                <w:sz w:val="21"/>
                <w:szCs w:val="21"/>
              </w:rPr>
              <w:t>库房仓容</w:t>
            </w:r>
          </w:p>
        </w:tc>
        <w:tc>
          <w:tcPr>
            <w:tcW w:w="1363"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92" w:firstLine="0"/>
              <w:jc w:val="center"/>
              <w:textAlignment w:val="auto"/>
              <w:rPr>
                <w:rFonts w:hint="eastAsia" w:ascii="宋体" w:hAnsi="宋体" w:eastAsia="宋体" w:cs="宋体"/>
                <w:sz w:val="21"/>
                <w:szCs w:val="21"/>
              </w:rPr>
            </w:pPr>
            <w:r>
              <w:rPr>
                <w:rFonts w:hint="eastAsia" w:ascii="宋体" w:hAnsi="宋体" w:eastAsia="宋体" w:cs="宋体"/>
                <w:sz w:val="21"/>
                <w:szCs w:val="21"/>
              </w:rPr>
              <w:t>油罐罐容</w:t>
            </w:r>
          </w:p>
        </w:tc>
        <w:tc>
          <w:tcPr>
            <w:tcW w:w="1391"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日运输能力</w:t>
            </w:r>
          </w:p>
        </w:tc>
        <w:tc>
          <w:tcPr>
            <w:tcW w:w="1446"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自有车辆日运输能力</w:t>
            </w:r>
          </w:p>
        </w:tc>
        <w:tc>
          <w:tcPr>
            <w:tcW w:w="1759"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小麦日加工能力</w:t>
            </w:r>
          </w:p>
        </w:tc>
        <w:tc>
          <w:tcPr>
            <w:tcW w:w="1748"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稻谷日加工能力</w:t>
            </w:r>
          </w:p>
        </w:tc>
        <w:tc>
          <w:tcPr>
            <w:tcW w:w="1796"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油脂分装日加工能力</w:t>
            </w:r>
          </w:p>
        </w:tc>
      </w:tr>
      <w:tr>
        <w:tblPrEx>
          <w:tblCellMar>
            <w:top w:w="96" w:type="dxa"/>
            <w:left w:w="86" w:type="dxa"/>
            <w:bottom w:w="0" w:type="dxa"/>
            <w:right w:w="68" w:type="dxa"/>
          </w:tblCellMar>
        </w:tblPrEx>
        <w:trPr>
          <w:trHeight w:val="397" w:hRule="atLeast"/>
        </w:trPr>
        <w:tc>
          <w:tcPr>
            <w:tcW w:w="1085" w:type="dxa"/>
            <w:vMerge w:val="restart"/>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72" w:firstLine="0"/>
              <w:jc w:val="center"/>
              <w:textAlignment w:val="auto"/>
              <w:rPr>
                <w:rFonts w:hint="eastAsia" w:ascii="宋体" w:hAnsi="宋体" w:eastAsia="宋体" w:cs="宋体"/>
                <w:sz w:val="21"/>
                <w:szCs w:val="21"/>
              </w:rPr>
            </w:pPr>
            <w:r>
              <w:rPr>
                <w:rFonts w:hint="eastAsia" w:ascii="宋体" w:hAnsi="宋体" w:eastAsia="宋体" w:cs="宋体"/>
                <w:sz w:val="21"/>
                <w:szCs w:val="21"/>
              </w:rPr>
              <w:t>主产区</w:t>
            </w:r>
          </w:p>
        </w:tc>
        <w:tc>
          <w:tcPr>
            <w:tcW w:w="660"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省级</w:t>
            </w:r>
          </w:p>
        </w:tc>
        <w:tc>
          <w:tcPr>
            <w:tcW w:w="1473"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1" w:firstLine="0"/>
              <w:jc w:val="center"/>
              <w:textAlignment w:val="auto"/>
              <w:rPr>
                <w:rFonts w:hint="eastAsia" w:ascii="宋体" w:hAnsi="宋体" w:eastAsia="宋体" w:cs="宋体"/>
                <w:sz w:val="21"/>
                <w:szCs w:val="21"/>
              </w:rPr>
            </w:pPr>
            <w:r>
              <w:rPr>
                <w:rFonts w:hint="eastAsia" w:ascii="宋体" w:hAnsi="宋体" w:eastAsia="宋体" w:cs="宋体"/>
                <w:sz w:val="21"/>
                <w:szCs w:val="21"/>
              </w:rPr>
              <w:t>3000</w:t>
            </w:r>
          </w:p>
        </w:tc>
        <w:tc>
          <w:tcPr>
            <w:tcW w:w="1363"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5" w:firstLine="0"/>
              <w:jc w:val="center"/>
              <w:textAlignment w:val="auto"/>
              <w:rPr>
                <w:rFonts w:hint="eastAsia" w:ascii="宋体" w:hAnsi="宋体" w:eastAsia="宋体" w:cs="宋体"/>
                <w:sz w:val="21"/>
                <w:szCs w:val="21"/>
              </w:rPr>
            </w:pPr>
            <w:r>
              <w:rPr>
                <w:rFonts w:hint="eastAsia" w:ascii="宋体" w:hAnsi="宋体" w:eastAsia="宋体" w:cs="宋体"/>
                <w:sz w:val="21"/>
                <w:szCs w:val="21"/>
              </w:rPr>
              <w:t>300</w:t>
            </w:r>
          </w:p>
        </w:tc>
        <w:tc>
          <w:tcPr>
            <w:tcW w:w="1391"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1" w:firstLine="0"/>
              <w:jc w:val="center"/>
              <w:textAlignment w:val="auto"/>
              <w:rPr>
                <w:rFonts w:hint="eastAsia" w:ascii="宋体" w:hAnsi="宋体" w:eastAsia="宋体" w:cs="宋体"/>
                <w:sz w:val="21"/>
                <w:szCs w:val="21"/>
              </w:rPr>
            </w:pPr>
            <w:r>
              <w:rPr>
                <w:rFonts w:hint="eastAsia" w:ascii="宋体" w:hAnsi="宋体" w:eastAsia="宋体" w:cs="宋体"/>
                <w:sz w:val="21"/>
                <w:szCs w:val="21"/>
              </w:rPr>
              <w:t>50</w:t>
            </w:r>
          </w:p>
        </w:tc>
        <w:tc>
          <w:tcPr>
            <w:tcW w:w="1446"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6" w:firstLine="0"/>
              <w:jc w:val="center"/>
              <w:textAlignment w:val="auto"/>
              <w:rPr>
                <w:rFonts w:hint="eastAsia" w:ascii="宋体" w:hAnsi="宋体" w:eastAsia="宋体" w:cs="宋体"/>
                <w:sz w:val="21"/>
                <w:szCs w:val="21"/>
              </w:rPr>
            </w:pPr>
            <w:r>
              <w:rPr>
                <w:rFonts w:hint="eastAsia" w:ascii="宋体" w:hAnsi="宋体" w:eastAsia="宋体" w:cs="宋体"/>
                <w:sz w:val="21"/>
                <w:szCs w:val="21"/>
              </w:rPr>
              <w:t>20</w:t>
            </w:r>
          </w:p>
        </w:tc>
        <w:tc>
          <w:tcPr>
            <w:tcW w:w="1759"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150</w:t>
            </w:r>
          </w:p>
        </w:tc>
        <w:tc>
          <w:tcPr>
            <w:tcW w:w="1748"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5"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100</w:t>
            </w:r>
          </w:p>
        </w:tc>
        <w:tc>
          <w:tcPr>
            <w:tcW w:w="1796"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1" w:firstLine="0"/>
              <w:jc w:val="center"/>
              <w:textAlignment w:val="auto"/>
              <w:rPr>
                <w:rFonts w:hint="eastAsia" w:ascii="宋体" w:hAnsi="宋体" w:eastAsia="宋体" w:cs="宋体"/>
                <w:sz w:val="21"/>
                <w:szCs w:val="21"/>
              </w:rPr>
            </w:pPr>
            <w:r>
              <w:rPr>
                <w:rFonts w:hint="eastAsia" w:ascii="宋体" w:hAnsi="宋体" w:eastAsia="宋体" w:cs="宋体"/>
                <w:sz w:val="21"/>
                <w:szCs w:val="21"/>
              </w:rPr>
              <w:t>30</w:t>
            </w:r>
          </w:p>
        </w:tc>
      </w:tr>
      <w:tr>
        <w:tblPrEx>
          <w:tblCellMar>
            <w:top w:w="96" w:type="dxa"/>
            <w:left w:w="86" w:type="dxa"/>
            <w:bottom w:w="0" w:type="dxa"/>
            <w:right w:w="68" w:type="dxa"/>
          </w:tblCellMar>
        </w:tblPrEx>
        <w:trPr>
          <w:trHeight w:val="397" w:hRule="atLeast"/>
        </w:trPr>
        <w:tc>
          <w:tcPr>
            <w:tcW w:w="1085" w:type="dxa"/>
            <w:vMerge w:val="continue"/>
            <w:tcBorders>
              <w:top w:val="nil"/>
              <w:left w:val="single" w:color="000000" w:sz="8" w:space="0"/>
              <w:bottom w:val="nil"/>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p>
        </w:tc>
        <w:tc>
          <w:tcPr>
            <w:tcW w:w="660"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市级</w:t>
            </w:r>
          </w:p>
        </w:tc>
        <w:tc>
          <w:tcPr>
            <w:tcW w:w="1473"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1" w:firstLine="0"/>
              <w:jc w:val="center"/>
              <w:textAlignment w:val="auto"/>
              <w:rPr>
                <w:rFonts w:hint="eastAsia" w:ascii="宋体" w:hAnsi="宋体" w:eastAsia="宋体" w:cs="宋体"/>
                <w:sz w:val="21"/>
                <w:szCs w:val="21"/>
              </w:rPr>
            </w:pPr>
            <w:r>
              <w:rPr>
                <w:rFonts w:hint="eastAsia" w:ascii="宋体" w:hAnsi="宋体" w:eastAsia="宋体" w:cs="宋体"/>
                <w:sz w:val="21"/>
                <w:szCs w:val="21"/>
              </w:rPr>
              <w:t>1500</w:t>
            </w:r>
          </w:p>
        </w:tc>
        <w:tc>
          <w:tcPr>
            <w:tcW w:w="1363"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5"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100</w:t>
            </w:r>
          </w:p>
        </w:tc>
        <w:tc>
          <w:tcPr>
            <w:tcW w:w="1391"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1" w:firstLine="0"/>
              <w:jc w:val="center"/>
              <w:textAlignment w:val="auto"/>
              <w:rPr>
                <w:rFonts w:hint="eastAsia" w:ascii="宋体" w:hAnsi="宋体" w:eastAsia="宋体" w:cs="宋体"/>
                <w:sz w:val="21"/>
                <w:szCs w:val="21"/>
              </w:rPr>
            </w:pPr>
            <w:r>
              <w:rPr>
                <w:rFonts w:hint="eastAsia" w:ascii="宋体" w:hAnsi="宋体" w:eastAsia="宋体" w:cs="宋体"/>
                <w:sz w:val="21"/>
                <w:szCs w:val="21"/>
              </w:rPr>
              <w:t>25</w:t>
            </w:r>
          </w:p>
        </w:tc>
        <w:tc>
          <w:tcPr>
            <w:tcW w:w="1446"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6"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w:t>
            </w:r>
          </w:p>
        </w:tc>
        <w:tc>
          <w:tcPr>
            <w:tcW w:w="1759"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5" w:firstLine="0"/>
              <w:jc w:val="center"/>
              <w:textAlignment w:val="auto"/>
              <w:rPr>
                <w:rFonts w:hint="eastAsia" w:ascii="宋体" w:hAnsi="宋体" w:eastAsia="宋体" w:cs="宋体"/>
                <w:sz w:val="21"/>
                <w:szCs w:val="21"/>
              </w:rPr>
            </w:pPr>
            <w:r>
              <w:rPr>
                <w:rFonts w:hint="eastAsia" w:ascii="宋体" w:hAnsi="宋体" w:eastAsia="宋体" w:cs="宋体"/>
                <w:sz w:val="21"/>
                <w:szCs w:val="21"/>
              </w:rPr>
              <w:t>80</w:t>
            </w:r>
          </w:p>
        </w:tc>
        <w:tc>
          <w:tcPr>
            <w:tcW w:w="1748"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2" w:firstLine="0"/>
              <w:jc w:val="center"/>
              <w:textAlignment w:val="auto"/>
              <w:rPr>
                <w:rFonts w:hint="eastAsia" w:ascii="宋体" w:hAnsi="宋体" w:eastAsia="宋体" w:cs="宋体"/>
                <w:sz w:val="21"/>
                <w:szCs w:val="21"/>
              </w:rPr>
            </w:pPr>
            <w:r>
              <w:rPr>
                <w:rFonts w:hint="eastAsia" w:ascii="宋体" w:hAnsi="宋体" w:eastAsia="宋体" w:cs="宋体"/>
                <w:sz w:val="21"/>
                <w:szCs w:val="21"/>
              </w:rPr>
              <w:t>50</w:t>
            </w:r>
          </w:p>
        </w:tc>
        <w:tc>
          <w:tcPr>
            <w:tcW w:w="1796"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1"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w:t>
            </w:r>
          </w:p>
        </w:tc>
      </w:tr>
      <w:tr>
        <w:tblPrEx>
          <w:tblCellMar>
            <w:top w:w="96" w:type="dxa"/>
            <w:left w:w="86" w:type="dxa"/>
            <w:bottom w:w="0" w:type="dxa"/>
            <w:right w:w="68" w:type="dxa"/>
          </w:tblCellMar>
        </w:tblPrEx>
        <w:trPr>
          <w:trHeight w:val="397" w:hRule="atLeast"/>
        </w:trPr>
        <w:tc>
          <w:tcPr>
            <w:tcW w:w="1085" w:type="dxa"/>
            <w:vMerge w:val="continue"/>
            <w:tcBorders>
              <w:top w:val="nil"/>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p>
        </w:tc>
        <w:tc>
          <w:tcPr>
            <w:tcW w:w="660"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县级</w:t>
            </w:r>
          </w:p>
        </w:tc>
        <w:tc>
          <w:tcPr>
            <w:tcW w:w="1473"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righ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200</w:t>
            </w:r>
          </w:p>
        </w:tc>
        <w:tc>
          <w:tcPr>
            <w:tcW w:w="1363"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2"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w:t>
            </w:r>
          </w:p>
        </w:tc>
        <w:tc>
          <w:tcPr>
            <w:tcW w:w="1391"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1"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w:t>
            </w:r>
          </w:p>
        </w:tc>
        <w:tc>
          <w:tcPr>
            <w:tcW w:w="1446"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1" w:firstLine="0"/>
              <w:jc w:val="center"/>
              <w:textAlignment w:val="auto"/>
              <w:rPr>
                <w:rFonts w:hint="eastAsia" w:ascii="宋体" w:hAnsi="宋体" w:eastAsia="宋体" w:cs="宋体"/>
                <w:sz w:val="21"/>
                <w:szCs w:val="21"/>
              </w:rPr>
            </w:pPr>
            <w:r>
              <w:rPr>
                <w:rFonts w:hint="eastAsia" w:ascii="宋体" w:hAnsi="宋体" w:eastAsia="宋体" w:cs="宋体"/>
                <w:sz w:val="21"/>
                <w:szCs w:val="21"/>
              </w:rPr>
              <w:t>5</w:t>
            </w:r>
          </w:p>
        </w:tc>
        <w:tc>
          <w:tcPr>
            <w:tcW w:w="1759"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5"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w:t>
            </w:r>
          </w:p>
        </w:tc>
        <w:tc>
          <w:tcPr>
            <w:tcW w:w="1748"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2"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w:t>
            </w:r>
          </w:p>
        </w:tc>
        <w:tc>
          <w:tcPr>
            <w:tcW w:w="1796"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right="2" w:firstLine="0"/>
              <w:jc w:val="center"/>
              <w:textAlignment w:val="auto"/>
              <w:rPr>
                <w:rFonts w:hint="eastAsia" w:ascii="宋体" w:hAnsi="宋体" w:eastAsia="宋体" w:cs="宋体"/>
                <w:sz w:val="21"/>
                <w:szCs w:val="21"/>
              </w:rPr>
            </w:pPr>
            <w:r>
              <w:rPr>
                <w:rFonts w:hint="eastAsia" w:ascii="宋体" w:hAnsi="宋体" w:eastAsia="宋体" w:cs="宋体"/>
                <w:sz w:val="21"/>
                <w:szCs w:val="21"/>
              </w:rPr>
              <w:t>1</w:t>
            </w:r>
          </w:p>
        </w:tc>
      </w:tr>
      <w:tr>
        <w:tblPrEx>
          <w:tblCellMar>
            <w:top w:w="96" w:type="dxa"/>
            <w:left w:w="86" w:type="dxa"/>
            <w:bottom w:w="0" w:type="dxa"/>
            <w:right w:w="68" w:type="dxa"/>
          </w:tblCellMar>
        </w:tblPrEx>
        <w:trPr>
          <w:trHeight w:val="397" w:hRule="atLeast"/>
        </w:trPr>
        <w:tc>
          <w:tcPr>
            <w:tcW w:w="1085" w:type="dxa"/>
            <w:vMerge w:val="restart"/>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72" w:firstLine="0"/>
              <w:jc w:val="center"/>
              <w:textAlignment w:val="auto"/>
              <w:rPr>
                <w:rFonts w:hint="eastAsia" w:ascii="宋体" w:hAnsi="宋体" w:eastAsia="宋体" w:cs="宋体"/>
                <w:sz w:val="21"/>
                <w:szCs w:val="21"/>
              </w:rPr>
            </w:pPr>
            <w:r>
              <w:rPr>
                <w:rFonts w:hint="eastAsia" w:ascii="宋体" w:hAnsi="宋体" w:eastAsia="宋体" w:cs="宋体"/>
                <w:sz w:val="21"/>
                <w:szCs w:val="21"/>
              </w:rPr>
              <w:t>平衡区</w:t>
            </w:r>
          </w:p>
        </w:tc>
        <w:tc>
          <w:tcPr>
            <w:tcW w:w="660"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省级</w:t>
            </w:r>
          </w:p>
        </w:tc>
        <w:tc>
          <w:tcPr>
            <w:tcW w:w="1473"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1" w:firstLine="0"/>
              <w:jc w:val="center"/>
              <w:textAlignment w:val="auto"/>
              <w:rPr>
                <w:rFonts w:hint="eastAsia" w:ascii="宋体" w:hAnsi="宋体" w:eastAsia="宋体" w:cs="宋体"/>
                <w:sz w:val="21"/>
                <w:szCs w:val="21"/>
              </w:rPr>
            </w:pPr>
            <w:r>
              <w:rPr>
                <w:rFonts w:hint="eastAsia" w:ascii="宋体" w:hAnsi="宋体" w:eastAsia="宋体" w:cs="宋体"/>
                <w:sz w:val="21"/>
                <w:szCs w:val="21"/>
              </w:rPr>
              <w:t>2500</w:t>
            </w:r>
          </w:p>
        </w:tc>
        <w:tc>
          <w:tcPr>
            <w:tcW w:w="1363"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5" w:firstLine="0"/>
              <w:jc w:val="center"/>
              <w:textAlignment w:val="auto"/>
              <w:rPr>
                <w:rFonts w:hint="eastAsia" w:ascii="宋体" w:hAnsi="宋体" w:eastAsia="宋体" w:cs="宋体"/>
                <w:sz w:val="21"/>
                <w:szCs w:val="21"/>
              </w:rPr>
            </w:pPr>
            <w:r>
              <w:rPr>
                <w:rFonts w:hint="eastAsia" w:ascii="宋体" w:hAnsi="宋体" w:eastAsia="宋体" w:cs="宋体"/>
                <w:sz w:val="21"/>
                <w:szCs w:val="21"/>
              </w:rPr>
              <w:t>200</w:t>
            </w:r>
          </w:p>
        </w:tc>
        <w:tc>
          <w:tcPr>
            <w:tcW w:w="1391"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1" w:firstLine="0"/>
              <w:jc w:val="center"/>
              <w:textAlignment w:val="auto"/>
              <w:rPr>
                <w:rFonts w:hint="eastAsia" w:ascii="宋体" w:hAnsi="宋体" w:eastAsia="宋体" w:cs="宋体"/>
                <w:sz w:val="21"/>
                <w:szCs w:val="21"/>
              </w:rPr>
            </w:pPr>
            <w:r>
              <w:rPr>
                <w:rFonts w:hint="eastAsia" w:ascii="宋体" w:hAnsi="宋体" w:eastAsia="宋体" w:cs="宋体"/>
                <w:sz w:val="21"/>
                <w:szCs w:val="21"/>
              </w:rPr>
              <w:t>20</w:t>
            </w:r>
          </w:p>
        </w:tc>
        <w:tc>
          <w:tcPr>
            <w:tcW w:w="1446"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6"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w:t>
            </w:r>
          </w:p>
        </w:tc>
        <w:tc>
          <w:tcPr>
            <w:tcW w:w="1759"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5" w:firstLine="0"/>
              <w:jc w:val="center"/>
              <w:textAlignment w:val="auto"/>
              <w:rPr>
                <w:rFonts w:hint="eastAsia" w:ascii="宋体" w:hAnsi="宋体" w:eastAsia="宋体" w:cs="宋体"/>
                <w:sz w:val="21"/>
                <w:szCs w:val="21"/>
              </w:rPr>
            </w:pPr>
            <w:r>
              <w:rPr>
                <w:rFonts w:hint="eastAsia" w:ascii="宋体" w:hAnsi="宋体" w:eastAsia="宋体" w:cs="宋体"/>
                <w:sz w:val="21"/>
                <w:szCs w:val="21"/>
              </w:rPr>
              <w:t>90</w:t>
            </w:r>
          </w:p>
        </w:tc>
        <w:tc>
          <w:tcPr>
            <w:tcW w:w="1748"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2" w:firstLine="0"/>
              <w:jc w:val="center"/>
              <w:textAlignment w:val="auto"/>
              <w:rPr>
                <w:rFonts w:hint="eastAsia" w:ascii="宋体" w:hAnsi="宋体" w:eastAsia="宋体" w:cs="宋体"/>
                <w:sz w:val="21"/>
                <w:szCs w:val="21"/>
              </w:rPr>
            </w:pPr>
            <w:r>
              <w:rPr>
                <w:rFonts w:hint="eastAsia" w:ascii="宋体" w:hAnsi="宋体" w:eastAsia="宋体" w:cs="宋体"/>
                <w:sz w:val="21"/>
                <w:szCs w:val="21"/>
              </w:rPr>
              <w:t>60</w:t>
            </w:r>
          </w:p>
        </w:tc>
        <w:tc>
          <w:tcPr>
            <w:tcW w:w="1796"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1" w:firstLine="0"/>
              <w:jc w:val="center"/>
              <w:textAlignment w:val="auto"/>
              <w:rPr>
                <w:rFonts w:hint="eastAsia" w:ascii="宋体" w:hAnsi="宋体" w:eastAsia="宋体" w:cs="宋体"/>
                <w:sz w:val="21"/>
                <w:szCs w:val="21"/>
              </w:rPr>
            </w:pPr>
            <w:r>
              <w:rPr>
                <w:rFonts w:hint="eastAsia" w:ascii="宋体" w:hAnsi="宋体" w:eastAsia="宋体" w:cs="宋体"/>
                <w:sz w:val="21"/>
                <w:szCs w:val="21"/>
              </w:rPr>
              <w:t>20</w:t>
            </w:r>
          </w:p>
        </w:tc>
      </w:tr>
      <w:tr>
        <w:tblPrEx>
          <w:tblCellMar>
            <w:top w:w="96" w:type="dxa"/>
            <w:left w:w="86" w:type="dxa"/>
            <w:bottom w:w="0" w:type="dxa"/>
            <w:right w:w="68" w:type="dxa"/>
          </w:tblCellMar>
        </w:tblPrEx>
        <w:trPr>
          <w:trHeight w:val="397" w:hRule="atLeast"/>
        </w:trPr>
        <w:tc>
          <w:tcPr>
            <w:tcW w:w="1085" w:type="dxa"/>
            <w:vMerge w:val="continue"/>
            <w:tcBorders>
              <w:top w:val="nil"/>
              <w:left w:val="single" w:color="000000" w:sz="8" w:space="0"/>
              <w:bottom w:val="nil"/>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p>
        </w:tc>
        <w:tc>
          <w:tcPr>
            <w:tcW w:w="660"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市级</w:t>
            </w:r>
          </w:p>
        </w:tc>
        <w:tc>
          <w:tcPr>
            <w:tcW w:w="1473"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1"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1000</w:t>
            </w:r>
          </w:p>
        </w:tc>
        <w:tc>
          <w:tcPr>
            <w:tcW w:w="1363"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2" w:firstLine="0"/>
              <w:jc w:val="center"/>
              <w:textAlignment w:val="auto"/>
              <w:rPr>
                <w:rFonts w:hint="eastAsia" w:ascii="宋体" w:hAnsi="宋体" w:eastAsia="宋体" w:cs="宋体"/>
                <w:sz w:val="21"/>
                <w:szCs w:val="21"/>
              </w:rPr>
            </w:pPr>
            <w:r>
              <w:rPr>
                <w:rFonts w:hint="eastAsia" w:ascii="宋体" w:hAnsi="宋体" w:eastAsia="宋体" w:cs="宋体"/>
                <w:sz w:val="21"/>
                <w:szCs w:val="21"/>
              </w:rPr>
              <w:t>80</w:t>
            </w:r>
          </w:p>
        </w:tc>
        <w:tc>
          <w:tcPr>
            <w:tcW w:w="1391"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1"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w:t>
            </w:r>
          </w:p>
        </w:tc>
        <w:tc>
          <w:tcPr>
            <w:tcW w:w="1446"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1" w:firstLine="0"/>
              <w:jc w:val="center"/>
              <w:textAlignment w:val="auto"/>
              <w:rPr>
                <w:rFonts w:hint="eastAsia" w:ascii="宋体" w:hAnsi="宋体" w:eastAsia="宋体" w:cs="宋体"/>
                <w:sz w:val="21"/>
                <w:szCs w:val="21"/>
              </w:rPr>
            </w:pPr>
            <w:r>
              <w:rPr>
                <w:rFonts w:hint="eastAsia" w:ascii="宋体" w:hAnsi="宋体" w:eastAsia="宋体" w:cs="宋体"/>
                <w:sz w:val="21"/>
                <w:szCs w:val="21"/>
              </w:rPr>
              <w:t>5</w:t>
            </w:r>
          </w:p>
        </w:tc>
        <w:tc>
          <w:tcPr>
            <w:tcW w:w="1759"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5" w:firstLine="0"/>
              <w:jc w:val="center"/>
              <w:textAlignment w:val="auto"/>
              <w:rPr>
                <w:rFonts w:hint="eastAsia" w:ascii="宋体" w:hAnsi="宋体" w:eastAsia="宋体" w:cs="宋体"/>
                <w:sz w:val="21"/>
                <w:szCs w:val="21"/>
              </w:rPr>
            </w:pPr>
            <w:r>
              <w:rPr>
                <w:rFonts w:hint="eastAsia" w:ascii="宋体" w:hAnsi="宋体" w:eastAsia="宋体" w:cs="宋体"/>
                <w:sz w:val="21"/>
                <w:szCs w:val="21"/>
              </w:rPr>
              <w:t>50</w:t>
            </w:r>
          </w:p>
        </w:tc>
        <w:tc>
          <w:tcPr>
            <w:tcW w:w="1748"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2" w:firstLine="0"/>
              <w:jc w:val="center"/>
              <w:textAlignment w:val="auto"/>
              <w:rPr>
                <w:rFonts w:hint="eastAsia" w:ascii="宋体" w:hAnsi="宋体" w:eastAsia="宋体" w:cs="宋体"/>
                <w:sz w:val="21"/>
                <w:szCs w:val="21"/>
              </w:rPr>
            </w:pPr>
            <w:r>
              <w:rPr>
                <w:rFonts w:hint="eastAsia" w:ascii="宋体" w:hAnsi="宋体" w:eastAsia="宋体" w:cs="宋体"/>
                <w:sz w:val="21"/>
                <w:szCs w:val="21"/>
              </w:rPr>
              <w:t>15</w:t>
            </w:r>
          </w:p>
        </w:tc>
        <w:tc>
          <w:tcPr>
            <w:tcW w:w="1796"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right="2" w:firstLine="0"/>
              <w:jc w:val="center"/>
              <w:textAlignment w:val="auto"/>
              <w:rPr>
                <w:rFonts w:hint="eastAsia" w:ascii="宋体" w:hAnsi="宋体" w:eastAsia="宋体" w:cs="宋体"/>
                <w:sz w:val="21"/>
                <w:szCs w:val="21"/>
              </w:rPr>
            </w:pPr>
            <w:r>
              <w:rPr>
                <w:rFonts w:hint="eastAsia" w:ascii="宋体" w:hAnsi="宋体" w:eastAsia="宋体" w:cs="宋体"/>
                <w:sz w:val="21"/>
                <w:szCs w:val="21"/>
              </w:rPr>
              <w:t>5</w:t>
            </w:r>
          </w:p>
        </w:tc>
      </w:tr>
      <w:tr>
        <w:tblPrEx>
          <w:tblCellMar>
            <w:top w:w="96" w:type="dxa"/>
            <w:left w:w="86" w:type="dxa"/>
            <w:bottom w:w="0" w:type="dxa"/>
            <w:right w:w="68" w:type="dxa"/>
          </w:tblCellMar>
        </w:tblPrEx>
        <w:trPr>
          <w:trHeight w:val="397" w:hRule="atLeast"/>
        </w:trPr>
        <w:tc>
          <w:tcPr>
            <w:tcW w:w="1085" w:type="dxa"/>
            <w:vMerge w:val="continue"/>
            <w:tcBorders>
              <w:top w:val="nil"/>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p>
        </w:tc>
        <w:tc>
          <w:tcPr>
            <w:tcW w:w="660"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县级</w:t>
            </w:r>
          </w:p>
        </w:tc>
        <w:tc>
          <w:tcPr>
            <w:tcW w:w="1473"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righ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100</w:t>
            </w:r>
          </w:p>
        </w:tc>
        <w:tc>
          <w:tcPr>
            <w:tcW w:w="1363"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2"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w:t>
            </w:r>
          </w:p>
        </w:tc>
        <w:tc>
          <w:tcPr>
            <w:tcW w:w="1391"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6" w:firstLine="0"/>
              <w:jc w:val="center"/>
              <w:textAlignment w:val="auto"/>
              <w:rPr>
                <w:rFonts w:hint="eastAsia" w:ascii="宋体" w:hAnsi="宋体" w:eastAsia="宋体" w:cs="宋体"/>
                <w:sz w:val="21"/>
                <w:szCs w:val="21"/>
              </w:rPr>
            </w:pPr>
            <w:r>
              <w:rPr>
                <w:rFonts w:hint="eastAsia" w:ascii="宋体" w:hAnsi="宋体" w:eastAsia="宋体" w:cs="宋体"/>
                <w:sz w:val="21"/>
                <w:szCs w:val="21"/>
              </w:rPr>
              <w:t>5</w:t>
            </w:r>
          </w:p>
        </w:tc>
        <w:tc>
          <w:tcPr>
            <w:tcW w:w="1446"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1" w:firstLine="0"/>
              <w:jc w:val="center"/>
              <w:textAlignment w:val="auto"/>
              <w:rPr>
                <w:rFonts w:hint="eastAsia" w:ascii="宋体" w:hAnsi="宋体" w:eastAsia="宋体" w:cs="宋体"/>
                <w:sz w:val="21"/>
                <w:szCs w:val="21"/>
              </w:rPr>
            </w:pPr>
            <w:r>
              <w:rPr>
                <w:rFonts w:hint="eastAsia" w:ascii="宋体" w:hAnsi="宋体" w:eastAsia="宋体" w:cs="宋体"/>
                <w:sz w:val="21"/>
                <w:szCs w:val="21"/>
              </w:rPr>
              <w:t>2</w:t>
            </w:r>
          </w:p>
        </w:tc>
        <w:tc>
          <w:tcPr>
            <w:tcW w:w="1759"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5"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w:t>
            </w:r>
          </w:p>
        </w:tc>
        <w:tc>
          <w:tcPr>
            <w:tcW w:w="1748"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right="3" w:firstLine="0"/>
              <w:jc w:val="center"/>
              <w:textAlignment w:val="auto"/>
              <w:rPr>
                <w:rFonts w:hint="eastAsia" w:ascii="宋体" w:hAnsi="宋体" w:eastAsia="宋体" w:cs="宋体"/>
                <w:sz w:val="21"/>
                <w:szCs w:val="21"/>
              </w:rPr>
            </w:pPr>
            <w:r>
              <w:rPr>
                <w:rFonts w:hint="eastAsia" w:ascii="宋体" w:hAnsi="宋体" w:eastAsia="宋体" w:cs="宋体"/>
                <w:sz w:val="21"/>
                <w:szCs w:val="21"/>
              </w:rPr>
              <w:t>5</w:t>
            </w:r>
          </w:p>
        </w:tc>
        <w:tc>
          <w:tcPr>
            <w:tcW w:w="1796"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right="2" w:firstLine="0"/>
              <w:jc w:val="center"/>
              <w:textAlignment w:val="auto"/>
              <w:rPr>
                <w:rFonts w:hint="eastAsia" w:ascii="宋体" w:hAnsi="宋体" w:eastAsia="宋体" w:cs="宋体"/>
                <w:sz w:val="21"/>
                <w:szCs w:val="21"/>
              </w:rPr>
            </w:pPr>
            <w:r>
              <w:rPr>
                <w:rFonts w:hint="eastAsia" w:ascii="宋体" w:hAnsi="宋体" w:eastAsia="宋体" w:cs="宋体"/>
                <w:sz w:val="21"/>
                <w:szCs w:val="21"/>
              </w:rPr>
              <w:t>1</w:t>
            </w:r>
          </w:p>
        </w:tc>
      </w:tr>
      <w:tr>
        <w:tblPrEx>
          <w:tblCellMar>
            <w:top w:w="96" w:type="dxa"/>
            <w:left w:w="86" w:type="dxa"/>
            <w:bottom w:w="0" w:type="dxa"/>
            <w:right w:w="68" w:type="dxa"/>
          </w:tblCellMar>
        </w:tblPrEx>
        <w:trPr>
          <w:trHeight w:val="397" w:hRule="atLeast"/>
        </w:trPr>
        <w:tc>
          <w:tcPr>
            <w:tcW w:w="1085" w:type="dxa"/>
            <w:vMerge w:val="restart"/>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72" w:firstLine="0"/>
              <w:jc w:val="center"/>
              <w:textAlignment w:val="auto"/>
              <w:rPr>
                <w:rFonts w:hint="eastAsia" w:ascii="宋体" w:hAnsi="宋体" w:eastAsia="宋体" w:cs="宋体"/>
                <w:sz w:val="21"/>
                <w:szCs w:val="21"/>
              </w:rPr>
            </w:pPr>
            <w:r>
              <w:rPr>
                <w:rFonts w:hint="eastAsia" w:ascii="宋体" w:hAnsi="宋体" w:eastAsia="宋体" w:cs="宋体"/>
                <w:sz w:val="21"/>
                <w:szCs w:val="21"/>
              </w:rPr>
              <w:t>主销区</w:t>
            </w:r>
          </w:p>
        </w:tc>
        <w:tc>
          <w:tcPr>
            <w:tcW w:w="660"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省级</w:t>
            </w:r>
          </w:p>
        </w:tc>
        <w:tc>
          <w:tcPr>
            <w:tcW w:w="1473"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1"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1000</w:t>
            </w:r>
          </w:p>
        </w:tc>
        <w:tc>
          <w:tcPr>
            <w:tcW w:w="1363"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5" w:firstLine="0"/>
              <w:jc w:val="center"/>
              <w:textAlignment w:val="auto"/>
              <w:rPr>
                <w:rFonts w:hint="eastAsia" w:ascii="宋体" w:hAnsi="宋体" w:eastAsia="宋体" w:cs="宋体"/>
                <w:sz w:val="21"/>
                <w:szCs w:val="21"/>
              </w:rPr>
            </w:pPr>
            <w:r>
              <w:rPr>
                <w:rFonts w:hint="eastAsia" w:ascii="宋体" w:hAnsi="宋体" w:eastAsia="宋体" w:cs="宋体"/>
                <w:sz w:val="21"/>
                <w:szCs w:val="21"/>
              </w:rPr>
              <w:t>200</w:t>
            </w:r>
          </w:p>
        </w:tc>
        <w:tc>
          <w:tcPr>
            <w:tcW w:w="1391"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1" w:firstLine="0"/>
              <w:jc w:val="center"/>
              <w:textAlignment w:val="auto"/>
              <w:rPr>
                <w:rFonts w:hint="eastAsia" w:ascii="宋体" w:hAnsi="宋体" w:eastAsia="宋体" w:cs="宋体"/>
                <w:sz w:val="21"/>
                <w:szCs w:val="21"/>
              </w:rPr>
            </w:pPr>
            <w:r>
              <w:rPr>
                <w:rFonts w:hint="eastAsia" w:ascii="宋体" w:hAnsi="宋体" w:eastAsia="宋体" w:cs="宋体"/>
                <w:sz w:val="21"/>
                <w:szCs w:val="21"/>
              </w:rPr>
              <w:t>80</w:t>
            </w:r>
          </w:p>
        </w:tc>
        <w:tc>
          <w:tcPr>
            <w:tcW w:w="1446"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6"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w:t>
            </w:r>
          </w:p>
        </w:tc>
        <w:tc>
          <w:tcPr>
            <w:tcW w:w="1759"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5" w:firstLine="0"/>
              <w:jc w:val="center"/>
              <w:textAlignment w:val="auto"/>
              <w:rPr>
                <w:rFonts w:hint="eastAsia" w:ascii="宋体" w:hAnsi="宋体" w:eastAsia="宋体" w:cs="宋体"/>
                <w:sz w:val="21"/>
                <w:szCs w:val="21"/>
              </w:rPr>
            </w:pPr>
            <w:r>
              <w:rPr>
                <w:rFonts w:hint="eastAsia" w:ascii="宋体" w:hAnsi="宋体" w:eastAsia="宋体" w:cs="宋体"/>
                <w:sz w:val="21"/>
                <w:szCs w:val="21"/>
              </w:rPr>
              <w:t>80</w:t>
            </w:r>
          </w:p>
        </w:tc>
        <w:tc>
          <w:tcPr>
            <w:tcW w:w="1748"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2" w:firstLine="0"/>
              <w:jc w:val="center"/>
              <w:textAlignment w:val="auto"/>
              <w:rPr>
                <w:rFonts w:hint="eastAsia" w:ascii="宋体" w:hAnsi="宋体" w:eastAsia="宋体" w:cs="宋体"/>
                <w:sz w:val="21"/>
                <w:szCs w:val="21"/>
              </w:rPr>
            </w:pPr>
            <w:r>
              <w:rPr>
                <w:rFonts w:hint="eastAsia" w:ascii="宋体" w:hAnsi="宋体" w:eastAsia="宋体" w:cs="宋体"/>
                <w:sz w:val="21"/>
                <w:szCs w:val="21"/>
              </w:rPr>
              <w:t>50</w:t>
            </w:r>
          </w:p>
        </w:tc>
        <w:tc>
          <w:tcPr>
            <w:tcW w:w="1796"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1" w:firstLine="0"/>
              <w:jc w:val="center"/>
              <w:textAlignment w:val="auto"/>
              <w:rPr>
                <w:rFonts w:hint="eastAsia" w:ascii="宋体" w:hAnsi="宋体" w:eastAsia="宋体" w:cs="宋体"/>
                <w:sz w:val="21"/>
                <w:szCs w:val="21"/>
              </w:rPr>
            </w:pPr>
            <w:r>
              <w:rPr>
                <w:rFonts w:hint="eastAsia" w:ascii="宋体" w:hAnsi="宋体" w:eastAsia="宋体" w:cs="宋体"/>
                <w:sz w:val="21"/>
                <w:szCs w:val="21"/>
              </w:rPr>
              <w:t>20</w:t>
            </w:r>
          </w:p>
        </w:tc>
      </w:tr>
      <w:tr>
        <w:tblPrEx>
          <w:tblCellMar>
            <w:top w:w="96" w:type="dxa"/>
            <w:left w:w="86" w:type="dxa"/>
            <w:bottom w:w="0" w:type="dxa"/>
            <w:right w:w="68" w:type="dxa"/>
          </w:tblCellMar>
        </w:tblPrEx>
        <w:trPr>
          <w:trHeight w:val="397" w:hRule="atLeast"/>
        </w:trPr>
        <w:tc>
          <w:tcPr>
            <w:tcW w:w="1085" w:type="dxa"/>
            <w:vMerge w:val="continue"/>
            <w:tcBorders>
              <w:top w:val="nil"/>
              <w:left w:val="single" w:color="000000" w:sz="8" w:space="0"/>
              <w:bottom w:val="nil"/>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p>
        </w:tc>
        <w:tc>
          <w:tcPr>
            <w:tcW w:w="660"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市级</w:t>
            </w:r>
          </w:p>
        </w:tc>
        <w:tc>
          <w:tcPr>
            <w:tcW w:w="1473"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righ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200</w:t>
            </w:r>
          </w:p>
        </w:tc>
        <w:tc>
          <w:tcPr>
            <w:tcW w:w="1363"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2" w:firstLine="0"/>
              <w:jc w:val="center"/>
              <w:textAlignment w:val="auto"/>
              <w:rPr>
                <w:rFonts w:hint="eastAsia" w:ascii="宋体" w:hAnsi="宋体" w:eastAsia="宋体" w:cs="宋体"/>
                <w:sz w:val="21"/>
                <w:szCs w:val="21"/>
              </w:rPr>
            </w:pPr>
            <w:r>
              <w:rPr>
                <w:rFonts w:hint="eastAsia" w:ascii="宋体" w:hAnsi="宋体" w:eastAsia="宋体" w:cs="宋体"/>
                <w:sz w:val="21"/>
                <w:szCs w:val="21"/>
              </w:rPr>
              <w:t>50</w:t>
            </w:r>
          </w:p>
        </w:tc>
        <w:tc>
          <w:tcPr>
            <w:tcW w:w="1391"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1" w:firstLine="0"/>
              <w:jc w:val="center"/>
              <w:textAlignment w:val="auto"/>
              <w:rPr>
                <w:rFonts w:hint="eastAsia" w:ascii="宋体" w:hAnsi="宋体" w:eastAsia="宋体" w:cs="宋体"/>
                <w:sz w:val="21"/>
                <w:szCs w:val="21"/>
              </w:rPr>
            </w:pPr>
            <w:r>
              <w:rPr>
                <w:rFonts w:hint="eastAsia" w:ascii="宋体" w:hAnsi="宋体" w:eastAsia="宋体" w:cs="宋体"/>
                <w:sz w:val="21"/>
                <w:szCs w:val="21"/>
              </w:rPr>
              <w:t>15</w:t>
            </w:r>
          </w:p>
        </w:tc>
        <w:tc>
          <w:tcPr>
            <w:tcW w:w="1446"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1" w:firstLine="0"/>
              <w:jc w:val="center"/>
              <w:textAlignment w:val="auto"/>
              <w:rPr>
                <w:rFonts w:hint="eastAsia" w:ascii="宋体" w:hAnsi="宋体" w:eastAsia="宋体" w:cs="宋体"/>
                <w:sz w:val="21"/>
                <w:szCs w:val="21"/>
              </w:rPr>
            </w:pPr>
            <w:r>
              <w:rPr>
                <w:rFonts w:hint="eastAsia" w:ascii="宋体" w:hAnsi="宋体" w:eastAsia="宋体" w:cs="宋体"/>
                <w:sz w:val="21"/>
                <w:szCs w:val="21"/>
              </w:rPr>
              <w:t>8</w:t>
            </w:r>
          </w:p>
        </w:tc>
        <w:tc>
          <w:tcPr>
            <w:tcW w:w="1759"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5" w:firstLine="0"/>
              <w:jc w:val="center"/>
              <w:textAlignment w:val="auto"/>
              <w:rPr>
                <w:rFonts w:hint="eastAsia" w:ascii="宋体" w:hAnsi="宋体" w:eastAsia="宋体" w:cs="宋体"/>
                <w:sz w:val="21"/>
                <w:szCs w:val="21"/>
              </w:rPr>
            </w:pPr>
            <w:r>
              <w:rPr>
                <w:rFonts w:hint="eastAsia" w:ascii="宋体" w:hAnsi="宋体" w:eastAsia="宋体" w:cs="宋体"/>
                <w:sz w:val="21"/>
                <w:szCs w:val="21"/>
              </w:rPr>
              <w:t>40</w:t>
            </w:r>
          </w:p>
        </w:tc>
        <w:tc>
          <w:tcPr>
            <w:tcW w:w="1748"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2" w:firstLine="0"/>
              <w:jc w:val="center"/>
              <w:textAlignment w:val="auto"/>
              <w:rPr>
                <w:rFonts w:hint="eastAsia" w:ascii="宋体" w:hAnsi="宋体" w:eastAsia="宋体" w:cs="宋体"/>
                <w:sz w:val="21"/>
                <w:szCs w:val="21"/>
              </w:rPr>
            </w:pPr>
            <w:r>
              <w:rPr>
                <w:rFonts w:hint="eastAsia" w:ascii="宋体" w:hAnsi="宋体" w:eastAsia="宋体" w:cs="宋体"/>
                <w:sz w:val="21"/>
                <w:szCs w:val="21"/>
              </w:rPr>
              <w:t>20</w:t>
            </w:r>
          </w:p>
        </w:tc>
        <w:tc>
          <w:tcPr>
            <w:tcW w:w="1796"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right="2" w:firstLine="0"/>
              <w:jc w:val="center"/>
              <w:textAlignment w:val="auto"/>
              <w:rPr>
                <w:rFonts w:hint="eastAsia" w:ascii="宋体" w:hAnsi="宋体" w:eastAsia="宋体" w:cs="宋体"/>
                <w:sz w:val="21"/>
                <w:szCs w:val="21"/>
              </w:rPr>
            </w:pPr>
            <w:r>
              <w:rPr>
                <w:rFonts w:hint="eastAsia" w:ascii="宋体" w:hAnsi="宋体" w:eastAsia="宋体" w:cs="宋体"/>
                <w:sz w:val="21"/>
                <w:szCs w:val="21"/>
              </w:rPr>
              <w:t>5</w:t>
            </w:r>
          </w:p>
        </w:tc>
      </w:tr>
      <w:tr>
        <w:tblPrEx>
          <w:tblCellMar>
            <w:top w:w="96" w:type="dxa"/>
            <w:left w:w="86" w:type="dxa"/>
            <w:bottom w:w="0" w:type="dxa"/>
            <w:right w:w="68" w:type="dxa"/>
          </w:tblCellMar>
        </w:tblPrEx>
        <w:trPr>
          <w:trHeight w:val="397" w:hRule="atLeast"/>
        </w:trPr>
        <w:tc>
          <w:tcPr>
            <w:tcW w:w="1085" w:type="dxa"/>
            <w:vMerge w:val="continue"/>
            <w:tcBorders>
              <w:top w:val="nil"/>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p>
        </w:tc>
        <w:tc>
          <w:tcPr>
            <w:tcW w:w="660"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县级</w:t>
            </w:r>
          </w:p>
        </w:tc>
        <w:tc>
          <w:tcPr>
            <w:tcW w:w="1473"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1" w:firstLine="0"/>
              <w:jc w:val="center"/>
              <w:textAlignment w:val="auto"/>
              <w:rPr>
                <w:rFonts w:hint="eastAsia" w:ascii="宋体" w:hAnsi="宋体" w:eastAsia="宋体" w:cs="宋体"/>
                <w:sz w:val="21"/>
                <w:szCs w:val="21"/>
              </w:rPr>
            </w:pPr>
            <w:r>
              <w:rPr>
                <w:rFonts w:hint="eastAsia" w:ascii="宋体" w:hAnsi="宋体" w:eastAsia="宋体" w:cs="宋体"/>
                <w:sz w:val="21"/>
                <w:szCs w:val="21"/>
              </w:rPr>
              <w:t>20</w:t>
            </w:r>
          </w:p>
        </w:tc>
        <w:tc>
          <w:tcPr>
            <w:tcW w:w="1363"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right="3" w:firstLine="0"/>
              <w:jc w:val="center"/>
              <w:textAlignment w:val="auto"/>
              <w:rPr>
                <w:rFonts w:hint="eastAsia" w:ascii="宋体" w:hAnsi="宋体" w:eastAsia="宋体" w:cs="宋体"/>
                <w:sz w:val="21"/>
                <w:szCs w:val="21"/>
              </w:rPr>
            </w:pPr>
            <w:r>
              <w:rPr>
                <w:rFonts w:hint="eastAsia" w:ascii="宋体" w:hAnsi="宋体" w:eastAsia="宋体" w:cs="宋体"/>
                <w:sz w:val="21"/>
                <w:szCs w:val="21"/>
              </w:rPr>
              <w:t>5</w:t>
            </w:r>
          </w:p>
        </w:tc>
        <w:tc>
          <w:tcPr>
            <w:tcW w:w="1391"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6" w:firstLine="0"/>
              <w:jc w:val="center"/>
              <w:textAlignment w:val="auto"/>
              <w:rPr>
                <w:rFonts w:hint="eastAsia" w:ascii="宋体" w:hAnsi="宋体" w:eastAsia="宋体" w:cs="宋体"/>
                <w:sz w:val="21"/>
                <w:szCs w:val="21"/>
              </w:rPr>
            </w:pPr>
            <w:r>
              <w:rPr>
                <w:rFonts w:hint="eastAsia" w:ascii="宋体" w:hAnsi="宋体" w:eastAsia="宋体" w:cs="宋体"/>
                <w:sz w:val="21"/>
                <w:szCs w:val="21"/>
              </w:rPr>
              <w:t>5</w:t>
            </w:r>
          </w:p>
        </w:tc>
        <w:tc>
          <w:tcPr>
            <w:tcW w:w="1446"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1" w:firstLine="0"/>
              <w:jc w:val="center"/>
              <w:textAlignment w:val="auto"/>
              <w:rPr>
                <w:rFonts w:hint="eastAsia" w:ascii="宋体" w:hAnsi="宋体" w:eastAsia="宋体" w:cs="宋体"/>
                <w:sz w:val="21"/>
                <w:szCs w:val="21"/>
              </w:rPr>
            </w:pPr>
            <w:r>
              <w:rPr>
                <w:rFonts w:hint="eastAsia" w:ascii="宋体" w:hAnsi="宋体" w:eastAsia="宋体" w:cs="宋体"/>
                <w:sz w:val="21"/>
                <w:szCs w:val="21"/>
              </w:rPr>
              <w:t>1</w:t>
            </w:r>
          </w:p>
        </w:tc>
        <w:tc>
          <w:tcPr>
            <w:tcW w:w="1759"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5"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w:t>
            </w:r>
          </w:p>
        </w:tc>
        <w:tc>
          <w:tcPr>
            <w:tcW w:w="1748"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right="3" w:firstLine="0"/>
              <w:jc w:val="center"/>
              <w:textAlignment w:val="auto"/>
              <w:rPr>
                <w:rFonts w:hint="eastAsia" w:ascii="宋体" w:hAnsi="宋体" w:eastAsia="宋体" w:cs="宋体"/>
                <w:sz w:val="21"/>
                <w:szCs w:val="21"/>
              </w:rPr>
            </w:pPr>
            <w:r>
              <w:rPr>
                <w:rFonts w:hint="eastAsia" w:ascii="宋体" w:hAnsi="宋体" w:eastAsia="宋体" w:cs="宋体"/>
                <w:sz w:val="21"/>
                <w:szCs w:val="21"/>
              </w:rPr>
              <w:t>5</w:t>
            </w:r>
          </w:p>
        </w:tc>
        <w:tc>
          <w:tcPr>
            <w:tcW w:w="1796"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right="2" w:firstLine="0"/>
              <w:jc w:val="center"/>
              <w:textAlignment w:val="auto"/>
              <w:rPr>
                <w:rFonts w:hint="eastAsia" w:ascii="宋体" w:hAnsi="宋体" w:eastAsia="宋体" w:cs="宋体"/>
                <w:sz w:val="21"/>
                <w:szCs w:val="21"/>
              </w:rPr>
            </w:pPr>
            <w:r>
              <w:rPr>
                <w:rFonts w:hint="eastAsia" w:ascii="宋体" w:hAnsi="宋体" w:eastAsia="宋体" w:cs="宋体"/>
                <w:sz w:val="21"/>
                <w:szCs w:val="21"/>
              </w:rPr>
              <w:t>1</w:t>
            </w:r>
          </w:p>
        </w:tc>
      </w:tr>
    </w:tbl>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r>
        <w:rPr>
          <w:rFonts w:hint="eastAsia" w:ascii="宋体" w:hAnsi="宋体" w:eastAsia="宋体" w:cs="宋体"/>
          <w:sz w:val="21"/>
          <w:szCs w:val="21"/>
        </w:rPr>
        <w:t>备注：1.以上标准数据来自2020年底各省（区、市）上报的粮食应急保障企业信息，经国家粮食和物资储备局分析得出；</w:t>
      </w: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r>
        <w:rPr>
          <w:rFonts w:hint="eastAsia" w:ascii="宋体" w:hAnsi="宋体" w:eastAsia="宋体" w:cs="宋体"/>
          <w:sz w:val="21"/>
          <w:szCs w:val="21"/>
        </w:rPr>
        <w:t xml:space="preserve">      2.企业只要能够满足储运、加工各项能力细分指标之一的，即达到相应企业标准；</w:t>
      </w:r>
    </w:p>
    <w:p>
      <w:pPr>
        <w:pageBreakBefore w:val="0"/>
        <w:kinsoku/>
        <w:wordWrap/>
        <w:overflowPunct/>
        <w:topLinePunct w:val="0"/>
        <w:autoSpaceDE/>
        <w:autoSpaceDN/>
        <w:bidi w:val="0"/>
        <w:spacing w:line="240" w:lineRule="exact"/>
        <w:textAlignment w:val="auto"/>
      </w:pPr>
      <w:r>
        <w:rPr>
          <w:rFonts w:hint="eastAsia" w:ascii="宋体" w:hAnsi="宋体" w:eastAsia="宋体" w:cs="宋体"/>
          <w:sz w:val="21"/>
          <w:szCs w:val="21"/>
        </w:rPr>
        <w:t xml:space="preserve">      3.此标准为推荐标准，非强制标准。该指标每年进行更新。各地可结合实际，在此标准的基础上制定本地标准。</w:t>
      </w:r>
    </w:p>
    <w:p>
      <w:pPr>
        <w:pageBreakBefore w:val="0"/>
        <w:kinsoku/>
        <w:wordWrap/>
        <w:overflowPunct/>
        <w:topLinePunct w:val="0"/>
        <w:autoSpaceDE/>
        <w:autoSpaceDN/>
        <w:bidi w:val="0"/>
        <w:spacing w:line="560" w:lineRule="exact"/>
        <w:textAlignment w:val="auto"/>
        <w:rPr>
          <w:rFonts w:ascii="黑体" w:hAnsi="黑体" w:eastAsia="黑体" w:cs="黑体"/>
          <w:sz w:val="28"/>
        </w:rPr>
      </w:pPr>
    </w:p>
    <w:p>
      <w:pPr>
        <w:pageBreakBefore w:val="0"/>
        <w:kinsoku/>
        <w:wordWrap/>
        <w:overflowPunct/>
        <w:topLinePunct w:val="0"/>
        <w:autoSpaceDE/>
        <w:autoSpaceDN/>
        <w:bidi w:val="0"/>
        <w:spacing w:line="560" w:lineRule="exact"/>
        <w:textAlignment w:val="auto"/>
      </w:pPr>
      <w:r>
        <w:rPr>
          <w:rFonts w:ascii="黑体" w:hAnsi="黑体" w:eastAsia="黑体" w:cs="黑体"/>
          <w:sz w:val="28"/>
        </w:rPr>
        <w:t>附件1-2</w:t>
      </w:r>
    </w:p>
    <w:p>
      <w:pPr>
        <w:pStyle w:val="4"/>
        <w:pageBreakBefore w:val="0"/>
        <w:kinsoku/>
        <w:wordWrap/>
        <w:overflowPunct/>
        <w:topLinePunct w:val="0"/>
        <w:autoSpaceDE/>
        <w:autoSpaceDN/>
        <w:bidi w:val="0"/>
        <w:spacing w:after="0" w:line="560" w:lineRule="exact"/>
        <w:ind w:left="188"/>
        <w:textAlignment w:val="auto"/>
      </w:pPr>
      <w:r>
        <w:t>省级及以下粮食应急保障企业推荐标准</w:t>
      </w:r>
    </w:p>
    <w:p>
      <w:pPr>
        <w:pageBreakBefore w:val="0"/>
        <w:kinsoku/>
        <w:wordWrap/>
        <w:overflowPunct/>
        <w:topLinePunct w:val="0"/>
        <w:autoSpaceDE/>
        <w:autoSpaceDN/>
        <w:bidi w:val="0"/>
        <w:spacing w:line="240" w:lineRule="exact"/>
        <w:ind w:left="10" w:right="719"/>
        <w:jc w:val="right"/>
        <w:textAlignment w:val="auto"/>
      </w:pPr>
      <w:r>
        <w:rPr>
          <w:rFonts w:hint="eastAsia"/>
          <w:sz w:val="24"/>
          <w:lang w:val="en-US" w:eastAsia="zh-CN"/>
        </w:rPr>
        <w:t xml:space="preserve">  </w:t>
      </w:r>
      <w:r>
        <w:rPr>
          <w:sz w:val="24"/>
        </w:rPr>
        <w:t>单位：吨</w:t>
      </w:r>
    </w:p>
    <w:tbl>
      <w:tblPr>
        <w:tblStyle w:val="17"/>
        <w:tblpPr w:leftFromText="180" w:rightFromText="180" w:vertAnchor="text" w:horzAnchor="page" w:tblpX="2125" w:tblpY="220"/>
        <w:tblOverlap w:val="never"/>
        <w:tblW w:w="12696" w:type="dxa"/>
        <w:tblInd w:w="0" w:type="dxa"/>
        <w:tblLayout w:type="autofit"/>
        <w:tblCellMar>
          <w:top w:w="96" w:type="dxa"/>
          <w:left w:w="91" w:type="dxa"/>
          <w:bottom w:w="0" w:type="dxa"/>
          <w:right w:w="77" w:type="dxa"/>
        </w:tblCellMar>
      </w:tblPr>
      <w:tblGrid>
        <w:gridCol w:w="927"/>
        <w:gridCol w:w="1359"/>
        <w:gridCol w:w="1487"/>
        <w:gridCol w:w="1487"/>
        <w:gridCol w:w="1487"/>
        <w:gridCol w:w="1487"/>
        <w:gridCol w:w="1487"/>
        <w:gridCol w:w="1487"/>
        <w:gridCol w:w="1488"/>
      </w:tblGrid>
      <w:tr>
        <w:tblPrEx>
          <w:tblCellMar>
            <w:top w:w="96" w:type="dxa"/>
            <w:left w:w="91" w:type="dxa"/>
            <w:bottom w:w="0" w:type="dxa"/>
            <w:right w:w="77" w:type="dxa"/>
          </w:tblCellMar>
        </w:tblPrEx>
        <w:trPr>
          <w:trHeight w:val="534" w:hRule="atLeast"/>
        </w:trPr>
        <w:tc>
          <w:tcPr>
            <w:tcW w:w="927" w:type="dxa"/>
            <w:vMerge w:val="restart"/>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135" w:firstLine="0"/>
              <w:jc w:val="both"/>
              <w:textAlignment w:val="auto"/>
              <w:rPr>
                <w:rFonts w:hint="eastAsia" w:ascii="宋体" w:hAnsi="宋体" w:eastAsia="宋体" w:cs="宋体"/>
                <w:sz w:val="21"/>
                <w:szCs w:val="21"/>
              </w:rPr>
            </w:pPr>
            <w:r>
              <w:rPr>
                <w:rFonts w:hint="eastAsia" w:ascii="宋体" w:hAnsi="宋体" w:eastAsia="宋体" w:cs="宋体"/>
                <w:sz w:val="21"/>
                <w:szCs w:val="21"/>
              </w:rPr>
              <w:t>区域</w:t>
            </w:r>
          </w:p>
        </w:tc>
        <w:tc>
          <w:tcPr>
            <w:tcW w:w="1359" w:type="dxa"/>
            <w:vMerge w:val="restart"/>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287" w:firstLine="0"/>
              <w:textAlignment w:val="auto"/>
              <w:rPr>
                <w:rFonts w:hint="eastAsia" w:ascii="宋体" w:hAnsi="宋体" w:eastAsia="宋体" w:cs="宋体"/>
                <w:sz w:val="21"/>
                <w:szCs w:val="21"/>
              </w:rPr>
            </w:pPr>
            <w:r>
              <w:rPr>
                <w:rFonts w:hint="eastAsia" w:ascii="宋体" w:hAnsi="宋体" w:eastAsia="宋体" w:cs="宋体"/>
                <w:sz w:val="21"/>
                <w:szCs w:val="21"/>
              </w:rPr>
              <w:t>级别</w:t>
            </w:r>
          </w:p>
        </w:tc>
        <w:tc>
          <w:tcPr>
            <w:tcW w:w="5948" w:type="dxa"/>
            <w:gridSpan w:val="4"/>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right="1" w:firstLine="0"/>
              <w:jc w:val="center"/>
              <w:textAlignment w:val="auto"/>
              <w:rPr>
                <w:rFonts w:hint="eastAsia" w:ascii="宋体" w:hAnsi="宋体" w:eastAsia="宋体" w:cs="宋体"/>
                <w:sz w:val="21"/>
                <w:szCs w:val="21"/>
              </w:rPr>
            </w:pPr>
            <w:r>
              <w:rPr>
                <w:rFonts w:hint="eastAsia" w:ascii="宋体" w:hAnsi="宋体" w:eastAsia="宋体" w:cs="宋体"/>
                <w:sz w:val="21"/>
                <w:szCs w:val="21"/>
              </w:rPr>
              <w:t>应急配送中心</w:t>
            </w:r>
          </w:p>
        </w:tc>
        <w:tc>
          <w:tcPr>
            <w:tcW w:w="4462" w:type="dxa"/>
            <w:gridSpan w:val="3"/>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3" w:firstLine="0"/>
              <w:jc w:val="center"/>
              <w:textAlignment w:val="auto"/>
              <w:rPr>
                <w:rFonts w:hint="eastAsia" w:ascii="宋体" w:hAnsi="宋体" w:eastAsia="宋体" w:cs="宋体"/>
                <w:sz w:val="21"/>
                <w:szCs w:val="21"/>
              </w:rPr>
            </w:pPr>
            <w:r>
              <w:rPr>
                <w:rFonts w:hint="eastAsia" w:ascii="宋体" w:hAnsi="宋体" w:eastAsia="宋体" w:cs="宋体"/>
                <w:sz w:val="21"/>
                <w:szCs w:val="21"/>
              </w:rPr>
              <w:t>应急供应网点</w:t>
            </w:r>
          </w:p>
        </w:tc>
      </w:tr>
      <w:tr>
        <w:tblPrEx>
          <w:tblCellMar>
            <w:top w:w="96" w:type="dxa"/>
            <w:left w:w="91" w:type="dxa"/>
            <w:bottom w:w="0" w:type="dxa"/>
            <w:right w:w="77" w:type="dxa"/>
          </w:tblCellMar>
        </w:tblPrEx>
        <w:trPr>
          <w:trHeight w:val="90" w:hRule="atLeast"/>
        </w:trPr>
        <w:tc>
          <w:tcPr>
            <w:tcW w:w="927" w:type="dxa"/>
            <w:vMerge w:val="continue"/>
            <w:tcBorders>
              <w:top w:val="nil"/>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textAlignment w:val="auto"/>
              <w:rPr>
                <w:rFonts w:hint="eastAsia" w:ascii="宋体" w:hAnsi="宋体" w:eastAsia="宋体" w:cs="宋体"/>
                <w:sz w:val="21"/>
                <w:szCs w:val="21"/>
              </w:rPr>
            </w:pPr>
          </w:p>
        </w:tc>
        <w:tc>
          <w:tcPr>
            <w:tcW w:w="1359" w:type="dxa"/>
            <w:vMerge w:val="continue"/>
            <w:tcBorders>
              <w:top w:val="nil"/>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textAlignment w:val="auto"/>
              <w:rPr>
                <w:rFonts w:hint="eastAsia" w:ascii="宋体" w:hAnsi="宋体" w:eastAsia="宋体" w:cs="宋体"/>
                <w:sz w:val="21"/>
                <w:szCs w:val="21"/>
              </w:rPr>
            </w:pPr>
          </w:p>
        </w:tc>
        <w:tc>
          <w:tcPr>
            <w:tcW w:w="1487"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57" w:firstLine="0"/>
              <w:jc w:val="both"/>
              <w:textAlignment w:val="auto"/>
              <w:rPr>
                <w:rFonts w:hint="eastAsia" w:ascii="宋体" w:hAnsi="宋体" w:eastAsia="宋体" w:cs="宋体"/>
                <w:sz w:val="21"/>
                <w:szCs w:val="21"/>
              </w:rPr>
            </w:pPr>
            <w:r>
              <w:rPr>
                <w:rFonts w:hint="eastAsia" w:ascii="宋体" w:hAnsi="宋体" w:eastAsia="宋体" w:cs="宋体"/>
                <w:sz w:val="21"/>
                <w:szCs w:val="21"/>
              </w:rPr>
              <w:t>库房仓容</w:t>
            </w:r>
          </w:p>
        </w:tc>
        <w:tc>
          <w:tcPr>
            <w:tcW w:w="1487"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57" w:firstLine="0"/>
              <w:jc w:val="both"/>
              <w:textAlignment w:val="auto"/>
              <w:rPr>
                <w:rFonts w:hint="eastAsia" w:ascii="宋体" w:hAnsi="宋体" w:eastAsia="宋体" w:cs="宋体"/>
                <w:sz w:val="21"/>
                <w:szCs w:val="21"/>
              </w:rPr>
            </w:pPr>
            <w:r>
              <w:rPr>
                <w:rFonts w:hint="eastAsia" w:ascii="宋体" w:hAnsi="宋体" w:eastAsia="宋体" w:cs="宋体"/>
                <w:sz w:val="21"/>
                <w:szCs w:val="21"/>
              </w:rPr>
              <w:t>油罐罐容</w:t>
            </w:r>
          </w:p>
        </w:tc>
        <w:tc>
          <w:tcPr>
            <w:tcW w:w="1487"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both"/>
              <w:textAlignment w:val="auto"/>
              <w:rPr>
                <w:rFonts w:hint="eastAsia" w:ascii="宋体" w:hAnsi="宋体" w:eastAsia="宋体" w:cs="宋体"/>
                <w:sz w:val="21"/>
                <w:szCs w:val="21"/>
              </w:rPr>
            </w:pPr>
            <w:r>
              <w:rPr>
                <w:rFonts w:hint="eastAsia" w:ascii="宋体" w:hAnsi="宋体" w:eastAsia="宋体" w:cs="宋体"/>
                <w:sz w:val="21"/>
                <w:szCs w:val="21"/>
              </w:rPr>
              <w:t>日运输能力</w:t>
            </w:r>
          </w:p>
        </w:tc>
        <w:tc>
          <w:tcPr>
            <w:tcW w:w="1487"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自有车辆日运输能力</w:t>
            </w:r>
          </w:p>
        </w:tc>
        <w:tc>
          <w:tcPr>
            <w:tcW w:w="1487"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小麦粉设计日供应能力</w:t>
            </w:r>
          </w:p>
        </w:tc>
        <w:tc>
          <w:tcPr>
            <w:tcW w:w="1487"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大米设计日供应能力</w:t>
            </w:r>
          </w:p>
        </w:tc>
        <w:tc>
          <w:tcPr>
            <w:tcW w:w="1488"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食用油设计日供应能力</w:t>
            </w:r>
          </w:p>
        </w:tc>
      </w:tr>
      <w:tr>
        <w:tblPrEx>
          <w:tblCellMar>
            <w:top w:w="96" w:type="dxa"/>
            <w:left w:w="91" w:type="dxa"/>
            <w:bottom w:w="0" w:type="dxa"/>
            <w:right w:w="77" w:type="dxa"/>
          </w:tblCellMar>
        </w:tblPrEx>
        <w:trPr>
          <w:trHeight w:val="340" w:hRule="atLeast"/>
        </w:trPr>
        <w:tc>
          <w:tcPr>
            <w:tcW w:w="927" w:type="dxa"/>
            <w:vMerge w:val="restart"/>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39" w:firstLine="0"/>
              <w:jc w:val="both"/>
              <w:textAlignment w:val="auto"/>
              <w:rPr>
                <w:rFonts w:hint="eastAsia" w:ascii="宋体" w:hAnsi="宋体" w:eastAsia="宋体" w:cs="宋体"/>
                <w:sz w:val="21"/>
                <w:szCs w:val="21"/>
              </w:rPr>
            </w:pPr>
            <w:r>
              <w:rPr>
                <w:rFonts w:hint="eastAsia" w:ascii="宋体" w:hAnsi="宋体" w:eastAsia="宋体" w:cs="宋体"/>
                <w:sz w:val="21"/>
                <w:szCs w:val="21"/>
              </w:rPr>
              <w:t>主产区</w:t>
            </w:r>
          </w:p>
        </w:tc>
        <w:tc>
          <w:tcPr>
            <w:tcW w:w="1359"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331" w:firstLine="0"/>
              <w:textAlignment w:val="auto"/>
              <w:rPr>
                <w:rFonts w:hint="eastAsia" w:ascii="宋体" w:hAnsi="宋体" w:eastAsia="宋体" w:cs="宋体"/>
                <w:sz w:val="21"/>
                <w:szCs w:val="21"/>
              </w:rPr>
            </w:pPr>
            <w:r>
              <w:rPr>
                <w:rFonts w:hint="eastAsia" w:ascii="宋体" w:hAnsi="宋体" w:eastAsia="宋体" w:cs="宋体"/>
                <w:sz w:val="21"/>
                <w:szCs w:val="21"/>
              </w:rPr>
              <w:t>省级</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5"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1000</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120</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9" w:firstLine="0"/>
              <w:jc w:val="center"/>
              <w:textAlignment w:val="auto"/>
              <w:rPr>
                <w:rFonts w:hint="eastAsia" w:ascii="宋体" w:hAnsi="宋体" w:eastAsia="宋体" w:cs="宋体"/>
                <w:sz w:val="21"/>
                <w:szCs w:val="21"/>
              </w:rPr>
            </w:pPr>
            <w:r>
              <w:rPr>
                <w:rFonts w:hint="eastAsia" w:ascii="宋体" w:hAnsi="宋体" w:eastAsia="宋体" w:cs="宋体"/>
                <w:sz w:val="21"/>
                <w:szCs w:val="21"/>
              </w:rPr>
              <w:t>60</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5" w:firstLine="0"/>
              <w:jc w:val="center"/>
              <w:textAlignment w:val="auto"/>
              <w:rPr>
                <w:rFonts w:hint="eastAsia" w:ascii="宋体" w:hAnsi="宋体" w:eastAsia="宋体" w:cs="宋体"/>
                <w:sz w:val="21"/>
                <w:szCs w:val="21"/>
              </w:rPr>
            </w:pPr>
            <w:r>
              <w:rPr>
                <w:rFonts w:hint="eastAsia" w:ascii="宋体" w:hAnsi="宋体" w:eastAsia="宋体" w:cs="宋体"/>
                <w:sz w:val="21"/>
                <w:szCs w:val="21"/>
              </w:rPr>
              <w:t>30</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11"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5"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w:t>
            </w:r>
          </w:p>
        </w:tc>
        <w:tc>
          <w:tcPr>
            <w:tcW w:w="1488"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2</w:t>
            </w:r>
          </w:p>
        </w:tc>
      </w:tr>
      <w:tr>
        <w:tblPrEx>
          <w:tblCellMar>
            <w:top w:w="96" w:type="dxa"/>
            <w:left w:w="91" w:type="dxa"/>
            <w:bottom w:w="0" w:type="dxa"/>
            <w:right w:w="77" w:type="dxa"/>
          </w:tblCellMar>
        </w:tblPrEx>
        <w:trPr>
          <w:trHeight w:val="340" w:hRule="atLeast"/>
        </w:trPr>
        <w:tc>
          <w:tcPr>
            <w:tcW w:w="927" w:type="dxa"/>
            <w:vMerge w:val="continue"/>
            <w:tcBorders>
              <w:top w:val="nil"/>
              <w:left w:val="single" w:color="000000" w:sz="8" w:space="0"/>
              <w:bottom w:val="nil"/>
              <w:right w:val="single" w:color="000000" w:sz="8" w:space="0"/>
            </w:tcBorders>
            <w:noWrap w:val="0"/>
            <w:vAlign w:val="top"/>
          </w:tcPr>
          <w:p>
            <w:pPr>
              <w:pageBreakBefore w:val="0"/>
              <w:kinsoku/>
              <w:wordWrap/>
              <w:overflowPunct/>
              <w:topLinePunct w:val="0"/>
              <w:autoSpaceDE/>
              <w:autoSpaceDN/>
              <w:bidi w:val="0"/>
              <w:spacing w:line="240" w:lineRule="exact"/>
              <w:ind w:left="0" w:firstLine="0"/>
              <w:textAlignment w:val="auto"/>
              <w:rPr>
                <w:rFonts w:hint="eastAsia" w:ascii="宋体" w:hAnsi="宋体" w:eastAsia="宋体" w:cs="宋体"/>
                <w:sz w:val="21"/>
                <w:szCs w:val="21"/>
              </w:rPr>
            </w:pPr>
          </w:p>
        </w:tc>
        <w:tc>
          <w:tcPr>
            <w:tcW w:w="1359"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331" w:firstLine="0"/>
              <w:textAlignment w:val="auto"/>
              <w:rPr>
                <w:rFonts w:hint="eastAsia" w:ascii="宋体" w:hAnsi="宋体" w:eastAsia="宋体" w:cs="宋体"/>
                <w:sz w:val="21"/>
                <w:szCs w:val="21"/>
              </w:rPr>
            </w:pPr>
            <w:r>
              <w:rPr>
                <w:rFonts w:hint="eastAsia" w:ascii="宋体" w:hAnsi="宋体" w:eastAsia="宋体" w:cs="宋体"/>
                <w:sz w:val="21"/>
                <w:szCs w:val="21"/>
              </w:rPr>
              <w:t>市级</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100</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5" w:firstLine="0"/>
              <w:jc w:val="center"/>
              <w:textAlignment w:val="auto"/>
              <w:rPr>
                <w:rFonts w:hint="eastAsia" w:ascii="宋体" w:hAnsi="宋体" w:eastAsia="宋体" w:cs="宋体"/>
                <w:sz w:val="21"/>
                <w:szCs w:val="21"/>
              </w:rPr>
            </w:pPr>
            <w:r>
              <w:rPr>
                <w:rFonts w:hint="eastAsia" w:ascii="宋体" w:hAnsi="宋体" w:eastAsia="宋体" w:cs="宋体"/>
                <w:sz w:val="21"/>
                <w:szCs w:val="21"/>
              </w:rPr>
              <w:t>80</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9" w:firstLine="0"/>
              <w:jc w:val="center"/>
              <w:textAlignment w:val="auto"/>
              <w:rPr>
                <w:rFonts w:hint="eastAsia" w:ascii="宋体" w:hAnsi="宋体" w:eastAsia="宋体" w:cs="宋体"/>
                <w:sz w:val="21"/>
                <w:szCs w:val="21"/>
              </w:rPr>
            </w:pPr>
            <w:r>
              <w:rPr>
                <w:rFonts w:hint="eastAsia" w:ascii="宋体" w:hAnsi="宋体" w:eastAsia="宋体" w:cs="宋体"/>
                <w:sz w:val="21"/>
                <w:szCs w:val="21"/>
              </w:rPr>
              <w:t>25</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5" w:firstLine="0"/>
              <w:jc w:val="center"/>
              <w:textAlignment w:val="auto"/>
              <w:rPr>
                <w:rFonts w:hint="eastAsia" w:ascii="宋体" w:hAnsi="宋体" w:eastAsia="宋体" w:cs="宋体"/>
                <w:sz w:val="21"/>
                <w:szCs w:val="21"/>
              </w:rPr>
            </w:pPr>
            <w:r>
              <w:rPr>
                <w:rFonts w:hint="eastAsia" w:ascii="宋体" w:hAnsi="宋体" w:eastAsia="宋体" w:cs="宋体"/>
                <w:sz w:val="21"/>
                <w:szCs w:val="21"/>
              </w:rPr>
              <w:t>15</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6" w:firstLine="0"/>
              <w:jc w:val="center"/>
              <w:textAlignment w:val="auto"/>
              <w:rPr>
                <w:rFonts w:hint="eastAsia" w:ascii="宋体" w:hAnsi="宋体" w:eastAsia="宋体" w:cs="宋体"/>
                <w:sz w:val="21"/>
                <w:szCs w:val="21"/>
              </w:rPr>
            </w:pPr>
            <w:r>
              <w:rPr>
                <w:rFonts w:hint="eastAsia" w:ascii="宋体" w:hAnsi="宋体" w:eastAsia="宋体" w:cs="宋体"/>
                <w:sz w:val="21"/>
                <w:szCs w:val="21"/>
              </w:rPr>
              <w:t>3</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2</w:t>
            </w:r>
          </w:p>
        </w:tc>
        <w:tc>
          <w:tcPr>
            <w:tcW w:w="1488"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1</w:t>
            </w:r>
          </w:p>
        </w:tc>
      </w:tr>
      <w:tr>
        <w:tblPrEx>
          <w:tblCellMar>
            <w:top w:w="96" w:type="dxa"/>
            <w:left w:w="91" w:type="dxa"/>
            <w:bottom w:w="0" w:type="dxa"/>
            <w:right w:w="77" w:type="dxa"/>
          </w:tblCellMar>
        </w:tblPrEx>
        <w:trPr>
          <w:trHeight w:val="340" w:hRule="atLeast"/>
        </w:trPr>
        <w:tc>
          <w:tcPr>
            <w:tcW w:w="927" w:type="dxa"/>
            <w:vMerge w:val="continue"/>
            <w:tcBorders>
              <w:top w:val="nil"/>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textAlignment w:val="auto"/>
              <w:rPr>
                <w:rFonts w:hint="eastAsia" w:ascii="宋体" w:hAnsi="宋体" w:eastAsia="宋体" w:cs="宋体"/>
                <w:sz w:val="21"/>
                <w:szCs w:val="21"/>
              </w:rPr>
            </w:pPr>
          </w:p>
        </w:tc>
        <w:tc>
          <w:tcPr>
            <w:tcW w:w="1359"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331" w:firstLine="0"/>
              <w:textAlignment w:val="auto"/>
              <w:rPr>
                <w:rFonts w:hint="eastAsia" w:ascii="宋体" w:hAnsi="宋体" w:eastAsia="宋体" w:cs="宋体"/>
                <w:sz w:val="21"/>
                <w:szCs w:val="21"/>
              </w:rPr>
            </w:pPr>
            <w:r>
              <w:rPr>
                <w:rFonts w:hint="eastAsia" w:ascii="宋体" w:hAnsi="宋体" w:eastAsia="宋体" w:cs="宋体"/>
                <w:sz w:val="21"/>
                <w:szCs w:val="21"/>
              </w:rPr>
              <w:t>县级</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5" w:firstLine="0"/>
              <w:jc w:val="center"/>
              <w:textAlignment w:val="auto"/>
              <w:rPr>
                <w:rFonts w:hint="eastAsia" w:ascii="宋体" w:hAnsi="宋体" w:eastAsia="宋体" w:cs="宋体"/>
                <w:sz w:val="21"/>
                <w:szCs w:val="21"/>
              </w:rPr>
            </w:pPr>
            <w:r>
              <w:rPr>
                <w:rFonts w:hint="eastAsia" w:ascii="宋体" w:hAnsi="宋体" w:eastAsia="宋体" w:cs="宋体"/>
                <w:sz w:val="21"/>
                <w:szCs w:val="21"/>
              </w:rPr>
              <w:t>20</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5</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9"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5</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6" w:firstLine="0"/>
              <w:jc w:val="center"/>
              <w:textAlignment w:val="auto"/>
              <w:rPr>
                <w:rFonts w:hint="eastAsia" w:ascii="宋体" w:hAnsi="宋体" w:eastAsia="宋体" w:cs="宋体"/>
                <w:sz w:val="21"/>
                <w:szCs w:val="21"/>
              </w:rPr>
            </w:pPr>
            <w:r>
              <w:rPr>
                <w:rFonts w:hint="eastAsia" w:ascii="宋体" w:hAnsi="宋体" w:eastAsia="宋体" w:cs="宋体"/>
                <w:sz w:val="21"/>
                <w:szCs w:val="21"/>
              </w:rPr>
              <w:t>0.5</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0.5</w:t>
            </w:r>
          </w:p>
        </w:tc>
        <w:tc>
          <w:tcPr>
            <w:tcW w:w="1488"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0.5</w:t>
            </w:r>
          </w:p>
        </w:tc>
      </w:tr>
      <w:tr>
        <w:tblPrEx>
          <w:tblCellMar>
            <w:top w:w="96" w:type="dxa"/>
            <w:left w:w="91" w:type="dxa"/>
            <w:bottom w:w="0" w:type="dxa"/>
            <w:right w:w="77" w:type="dxa"/>
          </w:tblCellMar>
        </w:tblPrEx>
        <w:trPr>
          <w:trHeight w:val="340" w:hRule="atLeast"/>
        </w:trPr>
        <w:tc>
          <w:tcPr>
            <w:tcW w:w="927" w:type="dxa"/>
            <w:vMerge w:val="restart"/>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39" w:firstLine="0"/>
              <w:jc w:val="both"/>
              <w:textAlignment w:val="auto"/>
              <w:rPr>
                <w:rFonts w:hint="eastAsia" w:ascii="宋体" w:hAnsi="宋体" w:eastAsia="宋体" w:cs="宋体"/>
                <w:sz w:val="21"/>
                <w:szCs w:val="21"/>
              </w:rPr>
            </w:pPr>
            <w:r>
              <w:rPr>
                <w:rFonts w:hint="eastAsia" w:ascii="宋体" w:hAnsi="宋体" w:eastAsia="宋体" w:cs="宋体"/>
                <w:sz w:val="21"/>
                <w:szCs w:val="21"/>
              </w:rPr>
              <w:t>平衡区</w:t>
            </w:r>
          </w:p>
        </w:tc>
        <w:tc>
          <w:tcPr>
            <w:tcW w:w="1359"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331" w:firstLine="0"/>
              <w:textAlignment w:val="auto"/>
              <w:rPr>
                <w:rFonts w:hint="eastAsia" w:ascii="宋体" w:hAnsi="宋体" w:eastAsia="宋体" w:cs="宋体"/>
                <w:sz w:val="21"/>
                <w:szCs w:val="21"/>
              </w:rPr>
            </w:pPr>
            <w:r>
              <w:rPr>
                <w:rFonts w:hint="eastAsia" w:ascii="宋体" w:hAnsi="宋体" w:eastAsia="宋体" w:cs="宋体"/>
                <w:sz w:val="21"/>
                <w:szCs w:val="21"/>
              </w:rPr>
              <w:t>省级</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200</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100</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9" w:firstLine="0"/>
              <w:jc w:val="center"/>
              <w:textAlignment w:val="auto"/>
              <w:rPr>
                <w:rFonts w:hint="eastAsia" w:ascii="宋体" w:hAnsi="宋体" w:eastAsia="宋体" w:cs="宋体"/>
                <w:sz w:val="21"/>
                <w:szCs w:val="21"/>
              </w:rPr>
            </w:pPr>
            <w:r>
              <w:rPr>
                <w:rFonts w:hint="eastAsia" w:ascii="宋体" w:hAnsi="宋体" w:eastAsia="宋体" w:cs="宋体"/>
                <w:sz w:val="21"/>
                <w:szCs w:val="21"/>
              </w:rPr>
              <w:t>30</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5" w:firstLine="0"/>
              <w:jc w:val="center"/>
              <w:textAlignment w:val="auto"/>
              <w:rPr>
                <w:rFonts w:hint="eastAsia" w:ascii="宋体" w:hAnsi="宋体" w:eastAsia="宋体" w:cs="宋体"/>
                <w:sz w:val="21"/>
                <w:szCs w:val="21"/>
              </w:rPr>
            </w:pPr>
            <w:r>
              <w:rPr>
                <w:rFonts w:hint="eastAsia" w:ascii="宋体" w:hAnsi="宋体" w:eastAsia="宋体" w:cs="宋体"/>
                <w:sz w:val="21"/>
                <w:szCs w:val="21"/>
              </w:rPr>
              <w:t>20</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6" w:firstLine="0"/>
              <w:jc w:val="center"/>
              <w:textAlignment w:val="auto"/>
              <w:rPr>
                <w:rFonts w:hint="eastAsia" w:ascii="宋体" w:hAnsi="宋体" w:eastAsia="宋体" w:cs="宋体"/>
                <w:sz w:val="21"/>
                <w:szCs w:val="21"/>
              </w:rPr>
            </w:pPr>
            <w:r>
              <w:rPr>
                <w:rFonts w:hint="eastAsia" w:ascii="宋体" w:hAnsi="宋体" w:eastAsia="宋体" w:cs="宋体"/>
                <w:sz w:val="21"/>
                <w:szCs w:val="21"/>
              </w:rPr>
              <w:t>8</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8</w:t>
            </w:r>
          </w:p>
        </w:tc>
        <w:tc>
          <w:tcPr>
            <w:tcW w:w="1488"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2</w:t>
            </w:r>
          </w:p>
        </w:tc>
      </w:tr>
      <w:tr>
        <w:tblPrEx>
          <w:tblCellMar>
            <w:top w:w="96" w:type="dxa"/>
            <w:left w:w="91" w:type="dxa"/>
            <w:bottom w:w="0" w:type="dxa"/>
            <w:right w:w="77" w:type="dxa"/>
          </w:tblCellMar>
        </w:tblPrEx>
        <w:trPr>
          <w:trHeight w:val="340" w:hRule="atLeast"/>
        </w:trPr>
        <w:tc>
          <w:tcPr>
            <w:tcW w:w="927" w:type="dxa"/>
            <w:vMerge w:val="continue"/>
            <w:tcBorders>
              <w:top w:val="nil"/>
              <w:left w:val="single" w:color="000000" w:sz="8" w:space="0"/>
              <w:bottom w:val="nil"/>
              <w:right w:val="single" w:color="000000" w:sz="8" w:space="0"/>
            </w:tcBorders>
            <w:noWrap w:val="0"/>
            <w:vAlign w:val="top"/>
          </w:tcPr>
          <w:p>
            <w:pPr>
              <w:pageBreakBefore w:val="0"/>
              <w:kinsoku/>
              <w:wordWrap/>
              <w:overflowPunct/>
              <w:topLinePunct w:val="0"/>
              <w:autoSpaceDE/>
              <w:autoSpaceDN/>
              <w:bidi w:val="0"/>
              <w:spacing w:line="240" w:lineRule="exact"/>
              <w:ind w:left="0" w:firstLine="0"/>
              <w:textAlignment w:val="auto"/>
              <w:rPr>
                <w:rFonts w:hint="eastAsia" w:ascii="宋体" w:hAnsi="宋体" w:eastAsia="宋体" w:cs="宋体"/>
                <w:sz w:val="21"/>
                <w:szCs w:val="21"/>
              </w:rPr>
            </w:pPr>
          </w:p>
        </w:tc>
        <w:tc>
          <w:tcPr>
            <w:tcW w:w="1359"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331" w:firstLine="0"/>
              <w:textAlignment w:val="auto"/>
              <w:rPr>
                <w:rFonts w:hint="eastAsia" w:ascii="宋体" w:hAnsi="宋体" w:eastAsia="宋体" w:cs="宋体"/>
                <w:sz w:val="21"/>
                <w:szCs w:val="21"/>
              </w:rPr>
            </w:pPr>
            <w:r>
              <w:rPr>
                <w:rFonts w:hint="eastAsia" w:ascii="宋体" w:hAnsi="宋体" w:eastAsia="宋体" w:cs="宋体"/>
                <w:sz w:val="21"/>
                <w:szCs w:val="21"/>
              </w:rPr>
              <w:t>市级</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150</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5" w:firstLine="0"/>
              <w:jc w:val="center"/>
              <w:textAlignment w:val="auto"/>
              <w:rPr>
                <w:rFonts w:hint="eastAsia" w:ascii="宋体" w:hAnsi="宋体" w:eastAsia="宋体" w:cs="宋体"/>
                <w:sz w:val="21"/>
                <w:szCs w:val="21"/>
              </w:rPr>
            </w:pPr>
            <w:r>
              <w:rPr>
                <w:rFonts w:hint="eastAsia" w:ascii="宋体" w:hAnsi="宋体" w:eastAsia="宋体" w:cs="宋体"/>
                <w:sz w:val="21"/>
                <w:szCs w:val="21"/>
              </w:rPr>
              <w:t>50</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9"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5</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6" w:firstLine="0"/>
              <w:jc w:val="center"/>
              <w:textAlignment w:val="auto"/>
              <w:rPr>
                <w:rFonts w:hint="eastAsia" w:ascii="宋体" w:hAnsi="宋体" w:eastAsia="宋体" w:cs="宋体"/>
                <w:sz w:val="21"/>
                <w:szCs w:val="21"/>
              </w:rPr>
            </w:pPr>
            <w:r>
              <w:rPr>
                <w:rFonts w:hint="eastAsia" w:ascii="宋体" w:hAnsi="宋体" w:eastAsia="宋体" w:cs="宋体"/>
                <w:sz w:val="21"/>
                <w:szCs w:val="21"/>
              </w:rPr>
              <w:t>3</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2</w:t>
            </w:r>
          </w:p>
        </w:tc>
        <w:tc>
          <w:tcPr>
            <w:tcW w:w="1488"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1</w:t>
            </w:r>
          </w:p>
        </w:tc>
      </w:tr>
      <w:tr>
        <w:tblPrEx>
          <w:tblCellMar>
            <w:top w:w="96" w:type="dxa"/>
            <w:left w:w="91" w:type="dxa"/>
            <w:bottom w:w="0" w:type="dxa"/>
            <w:right w:w="77" w:type="dxa"/>
          </w:tblCellMar>
        </w:tblPrEx>
        <w:trPr>
          <w:trHeight w:val="340" w:hRule="atLeast"/>
        </w:trPr>
        <w:tc>
          <w:tcPr>
            <w:tcW w:w="927" w:type="dxa"/>
            <w:vMerge w:val="continue"/>
            <w:tcBorders>
              <w:top w:val="nil"/>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textAlignment w:val="auto"/>
              <w:rPr>
                <w:rFonts w:hint="eastAsia" w:ascii="宋体" w:hAnsi="宋体" w:eastAsia="宋体" w:cs="宋体"/>
                <w:sz w:val="21"/>
                <w:szCs w:val="21"/>
              </w:rPr>
            </w:pPr>
          </w:p>
        </w:tc>
        <w:tc>
          <w:tcPr>
            <w:tcW w:w="1359"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331" w:firstLine="0"/>
              <w:textAlignment w:val="auto"/>
              <w:rPr>
                <w:rFonts w:hint="eastAsia" w:ascii="宋体" w:hAnsi="宋体" w:eastAsia="宋体" w:cs="宋体"/>
                <w:sz w:val="21"/>
                <w:szCs w:val="21"/>
              </w:rPr>
            </w:pPr>
            <w:r>
              <w:rPr>
                <w:rFonts w:hint="eastAsia" w:ascii="宋体" w:hAnsi="宋体" w:eastAsia="宋体" w:cs="宋体"/>
                <w:sz w:val="21"/>
                <w:szCs w:val="21"/>
              </w:rPr>
              <w:t>县级</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5" w:firstLine="0"/>
              <w:jc w:val="center"/>
              <w:textAlignment w:val="auto"/>
              <w:rPr>
                <w:rFonts w:hint="eastAsia" w:ascii="宋体" w:hAnsi="宋体" w:eastAsia="宋体" w:cs="宋体"/>
                <w:sz w:val="21"/>
                <w:szCs w:val="21"/>
              </w:rPr>
            </w:pPr>
            <w:r>
              <w:rPr>
                <w:rFonts w:hint="eastAsia" w:ascii="宋体" w:hAnsi="宋体" w:eastAsia="宋体" w:cs="宋体"/>
                <w:sz w:val="21"/>
                <w:szCs w:val="21"/>
              </w:rPr>
              <w:t>30</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1</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6" w:firstLine="0"/>
              <w:jc w:val="center"/>
              <w:textAlignment w:val="auto"/>
              <w:rPr>
                <w:rFonts w:hint="eastAsia" w:ascii="宋体" w:hAnsi="宋体" w:eastAsia="宋体" w:cs="宋体"/>
                <w:sz w:val="21"/>
                <w:szCs w:val="21"/>
              </w:rPr>
            </w:pPr>
            <w:r>
              <w:rPr>
                <w:rFonts w:hint="eastAsia" w:ascii="宋体" w:hAnsi="宋体" w:eastAsia="宋体" w:cs="宋体"/>
                <w:sz w:val="21"/>
                <w:szCs w:val="21"/>
              </w:rPr>
              <w:t>5</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1</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6" w:firstLine="0"/>
              <w:jc w:val="center"/>
              <w:textAlignment w:val="auto"/>
              <w:rPr>
                <w:rFonts w:hint="eastAsia" w:ascii="宋体" w:hAnsi="宋体" w:eastAsia="宋体" w:cs="宋体"/>
                <w:sz w:val="21"/>
                <w:szCs w:val="21"/>
              </w:rPr>
            </w:pPr>
            <w:r>
              <w:rPr>
                <w:rFonts w:hint="eastAsia" w:ascii="宋体" w:hAnsi="宋体" w:eastAsia="宋体" w:cs="宋体"/>
                <w:sz w:val="21"/>
                <w:szCs w:val="21"/>
              </w:rPr>
              <w:t>0.5</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0.5</w:t>
            </w:r>
          </w:p>
        </w:tc>
        <w:tc>
          <w:tcPr>
            <w:tcW w:w="1488"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0.5</w:t>
            </w:r>
          </w:p>
        </w:tc>
      </w:tr>
      <w:tr>
        <w:tblPrEx>
          <w:tblCellMar>
            <w:top w:w="96" w:type="dxa"/>
            <w:left w:w="91" w:type="dxa"/>
            <w:bottom w:w="0" w:type="dxa"/>
            <w:right w:w="77" w:type="dxa"/>
          </w:tblCellMar>
        </w:tblPrEx>
        <w:trPr>
          <w:trHeight w:val="340" w:hRule="atLeast"/>
        </w:trPr>
        <w:tc>
          <w:tcPr>
            <w:tcW w:w="927" w:type="dxa"/>
            <w:vMerge w:val="restart"/>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39" w:firstLine="0"/>
              <w:jc w:val="both"/>
              <w:textAlignment w:val="auto"/>
              <w:rPr>
                <w:rFonts w:hint="eastAsia" w:ascii="宋体" w:hAnsi="宋体" w:eastAsia="宋体" w:cs="宋体"/>
                <w:sz w:val="21"/>
                <w:szCs w:val="21"/>
              </w:rPr>
            </w:pPr>
            <w:r>
              <w:rPr>
                <w:rFonts w:hint="eastAsia" w:ascii="宋体" w:hAnsi="宋体" w:eastAsia="宋体" w:cs="宋体"/>
                <w:sz w:val="21"/>
                <w:szCs w:val="21"/>
              </w:rPr>
              <w:t>主销区</w:t>
            </w:r>
          </w:p>
        </w:tc>
        <w:tc>
          <w:tcPr>
            <w:tcW w:w="1359"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331" w:firstLine="0"/>
              <w:textAlignment w:val="auto"/>
              <w:rPr>
                <w:rFonts w:hint="eastAsia" w:ascii="宋体" w:hAnsi="宋体" w:eastAsia="宋体" w:cs="宋体"/>
                <w:sz w:val="21"/>
                <w:szCs w:val="21"/>
              </w:rPr>
            </w:pPr>
            <w:r>
              <w:rPr>
                <w:rFonts w:hint="eastAsia" w:ascii="宋体" w:hAnsi="宋体" w:eastAsia="宋体" w:cs="宋体"/>
                <w:sz w:val="21"/>
                <w:szCs w:val="21"/>
              </w:rPr>
              <w:t>省级</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5"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1000</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150</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100</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5" w:firstLine="0"/>
              <w:jc w:val="center"/>
              <w:textAlignment w:val="auto"/>
              <w:rPr>
                <w:rFonts w:hint="eastAsia" w:ascii="宋体" w:hAnsi="宋体" w:eastAsia="宋体" w:cs="宋体"/>
                <w:sz w:val="21"/>
                <w:szCs w:val="21"/>
              </w:rPr>
            </w:pPr>
            <w:r>
              <w:rPr>
                <w:rFonts w:hint="eastAsia" w:ascii="宋体" w:hAnsi="宋体" w:eastAsia="宋体" w:cs="宋体"/>
                <w:sz w:val="21"/>
                <w:szCs w:val="21"/>
              </w:rPr>
              <w:t>50</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11" w:firstLine="0"/>
              <w:jc w:val="center"/>
              <w:textAlignment w:val="auto"/>
              <w:rPr>
                <w:rFonts w:hint="eastAsia" w:ascii="宋体" w:hAnsi="宋体" w:eastAsia="宋体" w:cs="宋体"/>
                <w:sz w:val="21"/>
                <w:szCs w:val="21"/>
              </w:rPr>
            </w:pPr>
            <w:r>
              <w:rPr>
                <w:rFonts w:hint="eastAsia" w:ascii="宋体" w:hAnsi="宋体" w:eastAsia="宋体" w:cs="宋体"/>
                <w:sz w:val="21"/>
                <w:szCs w:val="21"/>
              </w:rPr>
              <w:t>18</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5"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w:t>
            </w:r>
          </w:p>
        </w:tc>
        <w:tc>
          <w:tcPr>
            <w:tcW w:w="1488"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5</w:t>
            </w:r>
          </w:p>
        </w:tc>
      </w:tr>
      <w:tr>
        <w:tblPrEx>
          <w:tblCellMar>
            <w:top w:w="96" w:type="dxa"/>
            <w:left w:w="91" w:type="dxa"/>
            <w:bottom w:w="0" w:type="dxa"/>
            <w:right w:w="77" w:type="dxa"/>
          </w:tblCellMar>
        </w:tblPrEx>
        <w:trPr>
          <w:trHeight w:val="340" w:hRule="atLeast"/>
        </w:trPr>
        <w:tc>
          <w:tcPr>
            <w:tcW w:w="927" w:type="dxa"/>
            <w:vMerge w:val="continue"/>
            <w:tcBorders>
              <w:top w:val="nil"/>
              <w:left w:val="single" w:color="000000" w:sz="8" w:space="0"/>
              <w:bottom w:val="nil"/>
              <w:right w:val="single" w:color="000000" w:sz="8" w:space="0"/>
            </w:tcBorders>
            <w:noWrap w:val="0"/>
            <w:vAlign w:val="top"/>
          </w:tcPr>
          <w:p>
            <w:pPr>
              <w:pageBreakBefore w:val="0"/>
              <w:kinsoku/>
              <w:wordWrap/>
              <w:overflowPunct/>
              <w:topLinePunct w:val="0"/>
              <w:autoSpaceDE/>
              <w:autoSpaceDN/>
              <w:bidi w:val="0"/>
              <w:spacing w:line="240" w:lineRule="exact"/>
              <w:ind w:left="0" w:firstLine="0"/>
              <w:textAlignment w:val="auto"/>
              <w:rPr>
                <w:rFonts w:hint="eastAsia" w:ascii="宋体" w:hAnsi="宋体" w:eastAsia="宋体" w:cs="宋体"/>
                <w:sz w:val="21"/>
                <w:szCs w:val="21"/>
              </w:rPr>
            </w:pPr>
          </w:p>
        </w:tc>
        <w:tc>
          <w:tcPr>
            <w:tcW w:w="1359"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331" w:firstLine="0"/>
              <w:textAlignment w:val="auto"/>
              <w:rPr>
                <w:rFonts w:hint="eastAsia" w:ascii="宋体" w:hAnsi="宋体" w:eastAsia="宋体" w:cs="宋体"/>
                <w:sz w:val="21"/>
                <w:szCs w:val="21"/>
              </w:rPr>
            </w:pPr>
            <w:r>
              <w:rPr>
                <w:rFonts w:hint="eastAsia" w:ascii="宋体" w:hAnsi="宋体" w:eastAsia="宋体" w:cs="宋体"/>
                <w:sz w:val="21"/>
                <w:szCs w:val="21"/>
              </w:rPr>
              <w:t>市级</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100</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5" w:firstLine="0"/>
              <w:jc w:val="center"/>
              <w:textAlignment w:val="auto"/>
              <w:rPr>
                <w:rFonts w:hint="eastAsia" w:ascii="宋体" w:hAnsi="宋体" w:eastAsia="宋体" w:cs="宋体"/>
                <w:sz w:val="21"/>
                <w:szCs w:val="21"/>
              </w:rPr>
            </w:pPr>
            <w:r>
              <w:rPr>
                <w:rFonts w:hint="eastAsia" w:ascii="宋体" w:hAnsi="宋体" w:eastAsia="宋体" w:cs="宋体"/>
                <w:sz w:val="21"/>
                <w:szCs w:val="21"/>
              </w:rPr>
              <w:t>30</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9" w:firstLine="0"/>
              <w:jc w:val="center"/>
              <w:textAlignment w:val="auto"/>
              <w:rPr>
                <w:rFonts w:hint="eastAsia" w:ascii="宋体" w:hAnsi="宋体" w:eastAsia="宋体" w:cs="宋体"/>
                <w:sz w:val="21"/>
                <w:szCs w:val="21"/>
              </w:rPr>
            </w:pPr>
            <w:r>
              <w:rPr>
                <w:rFonts w:hint="eastAsia" w:ascii="宋体" w:hAnsi="宋体" w:eastAsia="宋体" w:cs="宋体"/>
                <w:sz w:val="21"/>
                <w:szCs w:val="21"/>
              </w:rPr>
              <w:t>15</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5"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6" w:firstLine="0"/>
              <w:jc w:val="center"/>
              <w:textAlignment w:val="auto"/>
              <w:rPr>
                <w:rFonts w:hint="eastAsia" w:ascii="宋体" w:hAnsi="宋体" w:eastAsia="宋体" w:cs="宋体"/>
                <w:sz w:val="21"/>
                <w:szCs w:val="21"/>
              </w:rPr>
            </w:pPr>
            <w:r>
              <w:rPr>
                <w:rFonts w:hint="eastAsia" w:ascii="宋体" w:hAnsi="宋体" w:eastAsia="宋体" w:cs="宋体"/>
                <w:sz w:val="21"/>
                <w:szCs w:val="21"/>
              </w:rPr>
              <w:t>4</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2</w:t>
            </w:r>
          </w:p>
        </w:tc>
        <w:tc>
          <w:tcPr>
            <w:tcW w:w="1488"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2</w:t>
            </w:r>
          </w:p>
        </w:tc>
      </w:tr>
      <w:tr>
        <w:tblPrEx>
          <w:tblCellMar>
            <w:top w:w="96" w:type="dxa"/>
            <w:left w:w="91" w:type="dxa"/>
            <w:bottom w:w="0" w:type="dxa"/>
            <w:right w:w="77" w:type="dxa"/>
          </w:tblCellMar>
        </w:tblPrEx>
        <w:trPr>
          <w:trHeight w:val="340" w:hRule="atLeast"/>
        </w:trPr>
        <w:tc>
          <w:tcPr>
            <w:tcW w:w="927" w:type="dxa"/>
            <w:vMerge w:val="continue"/>
            <w:tcBorders>
              <w:top w:val="nil"/>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textAlignment w:val="auto"/>
              <w:rPr>
                <w:rFonts w:hint="eastAsia" w:ascii="宋体" w:hAnsi="宋体" w:eastAsia="宋体" w:cs="宋体"/>
                <w:sz w:val="21"/>
                <w:szCs w:val="21"/>
              </w:rPr>
            </w:pPr>
          </w:p>
        </w:tc>
        <w:tc>
          <w:tcPr>
            <w:tcW w:w="1359"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331" w:firstLine="0"/>
              <w:textAlignment w:val="auto"/>
              <w:rPr>
                <w:rFonts w:hint="eastAsia" w:ascii="宋体" w:hAnsi="宋体" w:eastAsia="宋体" w:cs="宋体"/>
                <w:sz w:val="21"/>
                <w:szCs w:val="21"/>
              </w:rPr>
            </w:pPr>
            <w:r>
              <w:rPr>
                <w:rFonts w:hint="eastAsia" w:ascii="宋体" w:hAnsi="宋体" w:eastAsia="宋体" w:cs="宋体"/>
                <w:sz w:val="21"/>
                <w:szCs w:val="21"/>
              </w:rPr>
              <w:t>县级</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5" w:firstLine="0"/>
              <w:jc w:val="center"/>
              <w:textAlignment w:val="auto"/>
              <w:rPr>
                <w:rFonts w:hint="eastAsia" w:ascii="宋体" w:hAnsi="宋体" w:eastAsia="宋体" w:cs="宋体"/>
                <w:sz w:val="21"/>
                <w:szCs w:val="21"/>
              </w:rPr>
            </w:pPr>
            <w:r>
              <w:rPr>
                <w:rFonts w:hint="eastAsia" w:ascii="宋体" w:hAnsi="宋体" w:eastAsia="宋体" w:cs="宋体"/>
                <w:sz w:val="21"/>
                <w:szCs w:val="21"/>
              </w:rPr>
              <w:t>50</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5</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9"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5</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6" w:firstLine="0"/>
              <w:jc w:val="center"/>
              <w:textAlignment w:val="auto"/>
              <w:rPr>
                <w:rFonts w:hint="eastAsia" w:ascii="宋体" w:hAnsi="宋体" w:eastAsia="宋体" w:cs="宋体"/>
                <w:sz w:val="21"/>
                <w:szCs w:val="21"/>
              </w:rPr>
            </w:pPr>
            <w:r>
              <w:rPr>
                <w:rFonts w:hint="eastAsia" w:ascii="宋体" w:hAnsi="宋体" w:eastAsia="宋体" w:cs="宋体"/>
                <w:sz w:val="21"/>
                <w:szCs w:val="21"/>
              </w:rPr>
              <w:t>0.5</w:t>
            </w:r>
          </w:p>
        </w:tc>
        <w:tc>
          <w:tcPr>
            <w:tcW w:w="148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0.5</w:t>
            </w:r>
          </w:p>
        </w:tc>
        <w:tc>
          <w:tcPr>
            <w:tcW w:w="1488"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0.5</w:t>
            </w:r>
          </w:p>
        </w:tc>
      </w:tr>
    </w:tbl>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r>
        <w:rPr>
          <w:rFonts w:hint="eastAsia" w:ascii="宋体" w:hAnsi="宋体" w:eastAsia="宋体" w:cs="宋体"/>
          <w:sz w:val="21"/>
          <w:szCs w:val="21"/>
        </w:rPr>
        <w:t>备注：1.以上标准数据来自2020年底各省（区、市）上报的粮食应急保障企业信息，经国家粮食和物资储备局分析得出；</w:t>
      </w:r>
    </w:p>
    <w:p>
      <w:pPr>
        <w:pageBreakBefore w:val="0"/>
        <w:kinsoku/>
        <w:wordWrap/>
        <w:overflowPunct/>
        <w:topLinePunct w:val="0"/>
        <w:autoSpaceDE/>
        <w:autoSpaceDN/>
        <w:bidi w:val="0"/>
        <w:spacing w:line="240" w:lineRule="exact"/>
        <w:ind w:left="579"/>
        <w:textAlignment w:val="auto"/>
        <w:rPr>
          <w:rFonts w:hint="eastAsia" w:ascii="宋体" w:hAnsi="宋体" w:eastAsia="宋体" w:cs="宋体"/>
          <w:sz w:val="21"/>
          <w:szCs w:val="21"/>
        </w:rPr>
      </w:pPr>
      <w:r>
        <w:rPr>
          <w:rFonts w:hint="eastAsia" w:ascii="宋体" w:hAnsi="宋体" w:eastAsia="宋体" w:cs="宋体"/>
          <w:sz w:val="21"/>
          <w:szCs w:val="21"/>
        </w:rPr>
        <w:t xml:space="preserve">2.企业只要能够满足配送、供应各项能力细分指标之一的，即达到相应企业标准； </w:t>
      </w:r>
    </w:p>
    <w:p>
      <w:pPr>
        <w:pageBreakBefore w:val="0"/>
        <w:kinsoku/>
        <w:wordWrap/>
        <w:overflowPunct/>
        <w:topLinePunct w:val="0"/>
        <w:autoSpaceDE/>
        <w:autoSpaceDN/>
        <w:bidi w:val="0"/>
        <w:spacing w:line="240" w:lineRule="exact"/>
        <w:ind w:left="579"/>
        <w:textAlignment w:val="auto"/>
      </w:pPr>
      <w:r>
        <w:rPr>
          <w:rFonts w:hint="eastAsia" w:ascii="宋体" w:hAnsi="宋体" w:eastAsia="宋体" w:cs="宋体"/>
          <w:sz w:val="21"/>
          <w:szCs w:val="21"/>
        </w:rPr>
        <w:t>3.此标准为推荐标准，非强制标准。该指标每年进行更新。各地可结合实际，在此标准的基础上制定本地标准。</w:t>
      </w:r>
    </w:p>
    <w:p>
      <w:pPr>
        <w:pageBreakBefore w:val="0"/>
        <w:kinsoku/>
        <w:wordWrap/>
        <w:overflowPunct/>
        <w:topLinePunct w:val="0"/>
        <w:autoSpaceDE/>
        <w:autoSpaceDN/>
        <w:bidi w:val="0"/>
        <w:spacing w:line="560" w:lineRule="exact"/>
        <w:ind w:left="10"/>
        <w:textAlignment w:val="auto"/>
        <w:rPr>
          <w:rFonts w:ascii="黑体" w:hAnsi="黑体" w:eastAsia="黑体" w:cs="黑体"/>
          <w:sz w:val="28"/>
        </w:rPr>
      </w:pPr>
    </w:p>
    <w:p>
      <w:pPr>
        <w:pageBreakBefore w:val="0"/>
        <w:kinsoku/>
        <w:wordWrap/>
        <w:overflowPunct/>
        <w:topLinePunct w:val="0"/>
        <w:autoSpaceDE/>
        <w:autoSpaceDN/>
        <w:bidi w:val="0"/>
        <w:spacing w:line="560" w:lineRule="exact"/>
        <w:ind w:left="10"/>
        <w:textAlignment w:val="auto"/>
        <w:rPr>
          <w:rFonts w:ascii="黑体" w:hAnsi="黑体" w:eastAsia="黑体" w:cs="黑体"/>
          <w:sz w:val="28"/>
        </w:rPr>
      </w:pPr>
    </w:p>
    <w:p>
      <w:pPr>
        <w:pageBreakBefore w:val="0"/>
        <w:kinsoku/>
        <w:wordWrap/>
        <w:overflowPunct/>
        <w:topLinePunct w:val="0"/>
        <w:autoSpaceDE/>
        <w:autoSpaceDN/>
        <w:bidi w:val="0"/>
        <w:spacing w:line="560" w:lineRule="exact"/>
        <w:ind w:left="10"/>
        <w:textAlignment w:val="auto"/>
        <w:rPr>
          <w:rFonts w:ascii="黑体" w:hAnsi="黑体" w:eastAsia="黑体" w:cs="黑体"/>
          <w:sz w:val="28"/>
        </w:rPr>
      </w:pPr>
    </w:p>
    <w:p>
      <w:pPr>
        <w:pageBreakBefore w:val="0"/>
        <w:kinsoku/>
        <w:wordWrap/>
        <w:overflowPunct/>
        <w:topLinePunct w:val="0"/>
        <w:autoSpaceDE/>
        <w:autoSpaceDN/>
        <w:bidi w:val="0"/>
        <w:spacing w:line="560" w:lineRule="exact"/>
        <w:textAlignment w:val="auto"/>
      </w:pPr>
      <w:r>
        <w:rPr>
          <w:rFonts w:ascii="黑体" w:hAnsi="黑体" w:eastAsia="黑体" w:cs="黑体"/>
          <w:sz w:val="28"/>
        </w:rPr>
        <w:t>附件1-3</w:t>
      </w:r>
    </w:p>
    <w:p>
      <w:pPr>
        <w:pStyle w:val="4"/>
        <w:pageBreakBefore w:val="0"/>
        <w:kinsoku/>
        <w:wordWrap/>
        <w:overflowPunct/>
        <w:topLinePunct w:val="0"/>
        <w:autoSpaceDE/>
        <w:autoSpaceDN/>
        <w:bidi w:val="0"/>
        <w:spacing w:after="0" w:line="560" w:lineRule="exact"/>
        <w:ind w:left="188" w:right="4"/>
        <w:textAlignment w:val="auto"/>
      </w:pPr>
      <w:r>
        <w:t>省级及以下应急保障中心推荐标准</w:t>
      </w:r>
    </w:p>
    <w:p>
      <w:pPr>
        <w:pageBreakBefore w:val="0"/>
        <w:kinsoku/>
        <w:wordWrap/>
        <w:overflowPunct/>
        <w:topLinePunct w:val="0"/>
        <w:autoSpaceDE/>
        <w:autoSpaceDN/>
        <w:bidi w:val="0"/>
        <w:spacing w:line="240" w:lineRule="exact"/>
        <w:ind w:left="10"/>
        <w:jc w:val="center"/>
        <w:textAlignment w:val="auto"/>
      </w:pPr>
      <w:r>
        <w:rPr>
          <w:rFonts w:hint="eastAsia"/>
          <w:sz w:val="24"/>
          <w:lang w:val="en-US" w:eastAsia="zh-CN"/>
        </w:rPr>
        <w:t xml:space="preserve">                                                                                       </w:t>
      </w:r>
      <w:r>
        <w:rPr>
          <w:sz w:val="24"/>
        </w:rPr>
        <w:t>单位：吨</w:t>
      </w:r>
    </w:p>
    <w:tbl>
      <w:tblPr>
        <w:tblStyle w:val="17"/>
        <w:tblW w:w="12706" w:type="dxa"/>
        <w:tblInd w:w="70" w:type="dxa"/>
        <w:tblLayout w:type="autofit"/>
        <w:tblCellMar>
          <w:top w:w="96" w:type="dxa"/>
          <w:left w:w="58" w:type="dxa"/>
          <w:bottom w:w="0" w:type="dxa"/>
          <w:right w:w="38" w:type="dxa"/>
        </w:tblCellMar>
      </w:tblPr>
      <w:tblGrid>
        <w:gridCol w:w="914"/>
        <w:gridCol w:w="777"/>
        <w:gridCol w:w="1103"/>
        <w:gridCol w:w="1034"/>
        <w:gridCol w:w="1071"/>
        <w:gridCol w:w="1084"/>
        <w:gridCol w:w="1071"/>
        <w:gridCol w:w="1084"/>
        <w:gridCol w:w="1129"/>
        <w:gridCol w:w="1142"/>
        <w:gridCol w:w="1117"/>
        <w:gridCol w:w="1180"/>
      </w:tblGrid>
      <w:tr>
        <w:tblPrEx>
          <w:tblCellMar>
            <w:top w:w="96" w:type="dxa"/>
            <w:left w:w="58" w:type="dxa"/>
            <w:bottom w:w="0" w:type="dxa"/>
            <w:right w:w="38" w:type="dxa"/>
          </w:tblCellMar>
        </w:tblPrEx>
        <w:trPr>
          <w:trHeight w:val="397" w:hRule="atLeast"/>
        </w:trPr>
        <w:tc>
          <w:tcPr>
            <w:tcW w:w="914" w:type="dxa"/>
            <w:vMerge w:val="restart"/>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148" w:firstLine="0"/>
              <w:jc w:val="both"/>
              <w:textAlignment w:val="auto"/>
              <w:rPr>
                <w:rFonts w:hint="eastAsia" w:ascii="宋体" w:hAnsi="宋体" w:eastAsia="宋体" w:cs="宋体"/>
                <w:sz w:val="21"/>
                <w:szCs w:val="21"/>
              </w:rPr>
            </w:pPr>
            <w:r>
              <w:rPr>
                <w:rFonts w:hint="eastAsia" w:ascii="宋体" w:hAnsi="宋体" w:eastAsia="宋体" w:cs="宋体"/>
                <w:sz w:val="21"/>
                <w:szCs w:val="21"/>
              </w:rPr>
              <w:t>区域</w:t>
            </w:r>
          </w:p>
        </w:tc>
        <w:tc>
          <w:tcPr>
            <w:tcW w:w="777" w:type="dxa"/>
            <w:vMerge w:val="restart"/>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144" w:firstLine="0"/>
              <w:jc w:val="both"/>
              <w:textAlignment w:val="auto"/>
              <w:rPr>
                <w:rFonts w:hint="eastAsia" w:ascii="宋体" w:hAnsi="宋体" w:eastAsia="宋体" w:cs="宋体"/>
                <w:sz w:val="21"/>
                <w:szCs w:val="21"/>
              </w:rPr>
            </w:pPr>
            <w:r>
              <w:rPr>
                <w:rFonts w:hint="eastAsia" w:ascii="宋体" w:hAnsi="宋体" w:eastAsia="宋体" w:cs="宋体"/>
                <w:sz w:val="21"/>
                <w:szCs w:val="21"/>
              </w:rPr>
              <w:t>级别</w:t>
            </w:r>
          </w:p>
        </w:tc>
        <w:tc>
          <w:tcPr>
            <w:tcW w:w="2137" w:type="dxa"/>
            <w:gridSpan w:val="2"/>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仓储能力</w:t>
            </w:r>
          </w:p>
        </w:tc>
        <w:tc>
          <w:tcPr>
            <w:tcW w:w="1071" w:type="dxa"/>
            <w:tcBorders>
              <w:top w:val="single" w:color="000000" w:sz="8" w:space="0"/>
              <w:left w:val="single" w:color="000000" w:sz="8" w:space="0"/>
              <w:bottom w:val="single" w:color="000000" w:sz="8" w:space="0"/>
              <w:right w:val="nil"/>
            </w:tcBorders>
            <w:noWrap w:val="0"/>
            <w:vAlign w:val="top"/>
          </w:tcPr>
          <w:p>
            <w:pPr>
              <w:pageBreakBefore w:val="0"/>
              <w:kinsoku/>
              <w:wordWrap/>
              <w:overflowPunct/>
              <w:topLinePunct w:val="0"/>
              <w:autoSpaceDE/>
              <w:autoSpaceDN/>
              <w:bidi w:val="0"/>
              <w:spacing w:line="240" w:lineRule="exact"/>
              <w:ind w:left="0" w:firstLine="0"/>
              <w:textAlignment w:val="auto"/>
              <w:rPr>
                <w:rFonts w:hint="eastAsia" w:ascii="宋体" w:hAnsi="宋体" w:eastAsia="宋体" w:cs="宋体"/>
                <w:sz w:val="21"/>
                <w:szCs w:val="21"/>
              </w:rPr>
            </w:pPr>
          </w:p>
        </w:tc>
        <w:tc>
          <w:tcPr>
            <w:tcW w:w="1084" w:type="dxa"/>
            <w:tcBorders>
              <w:top w:val="single" w:color="000000" w:sz="8" w:space="0"/>
              <w:left w:val="nil"/>
              <w:bottom w:val="single" w:color="000000" w:sz="8" w:space="0"/>
              <w:right w:val="nil"/>
            </w:tcBorders>
            <w:noWrap w:val="0"/>
            <w:vAlign w:val="center"/>
          </w:tcPr>
          <w:p>
            <w:pPr>
              <w:pageBreakBefore w:val="0"/>
              <w:kinsoku/>
              <w:wordWrap/>
              <w:overflowPunct/>
              <w:topLinePunct w:val="0"/>
              <w:autoSpaceDE/>
              <w:autoSpaceDN/>
              <w:bidi w:val="0"/>
              <w:spacing w:line="240" w:lineRule="exact"/>
              <w:ind w:left="101" w:firstLine="0"/>
              <w:jc w:val="both"/>
              <w:textAlignment w:val="auto"/>
              <w:rPr>
                <w:rFonts w:hint="eastAsia" w:ascii="宋体" w:hAnsi="宋体" w:eastAsia="宋体" w:cs="宋体"/>
                <w:sz w:val="21"/>
                <w:szCs w:val="21"/>
              </w:rPr>
            </w:pPr>
            <w:r>
              <w:rPr>
                <w:rFonts w:hint="eastAsia" w:ascii="宋体" w:hAnsi="宋体" w:eastAsia="宋体" w:cs="宋体"/>
                <w:sz w:val="21"/>
                <w:szCs w:val="21"/>
              </w:rPr>
              <w:t>加工能力</w:t>
            </w:r>
          </w:p>
        </w:tc>
        <w:tc>
          <w:tcPr>
            <w:tcW w:w="1071" w:type="dxa"/>
            <w:tcBorders>
              <w:top w:val="single" w:color="000000" w:sz="8" w:space="0"/>
              <w:left w:val="nil"/>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textAlignment w:val="auto"/>
              <w:rPr>
                <w:rFonts w:hint="eastAsia" w:ascii="宋体" w:hAnsi="宋体" w:eastAsia="宋体" w:cs="宋体"/>
                <w:sz w:val="21"/>
                <w:szCs w:val="21"/>
              </w:rPr>
            </w:pPr>
          </w:p>
        </w:tc>
        <w:tc>
          <w:tcPr>
            <w:tcW w:w="2213" w:type="dxa"/>
            <w:gridSpan w:val="2"/>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righ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运输能力</w:t>
            </w:r>
          </w:p>
        </w:tc>
        <w:tc>
          <w:tcPr>
            <w:tcW w:w="3439" w:type="dxa"/>
            <w:gridSpan w:val="3"/>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right="5" w:firstLine="0"/>
              <w:jc w:val="center"/>
              <w:textAlignment w:val="auto"/>
              <w:rPr>
                <w:rFonts w:hint="eastAsia" w:ascii="宋体" w:hAnsi="宋体" w:eastAsia="宋体" w:cs="宋体"/>
                <w:sz w:val="21"/>
                <w:szCs w:val="21"/>
              </w:rPr>
            </w:pPr>
            <w:r>
              <w:rPr>
                <w:rFonts w:hint="eastAsia" w:ascii="宋体" w:hAnsi="宋体" w:eastAsia="宋体" w:cs="宋体"/>
                <w:sz w:val="21"/>
                <w:szCs w:val="21"/>
              </w:rPr>
              <w:t>供应能力</w:t>
            </w:r>
          </w:p>
        </w:tc>
      </w:tr>
      <w:tr>
        <w:tblPrEx>
          <w:tblCellMar>
            <w:top w:w="96" w:type="dxa"/>
            <w:left w:w="58" w:type="dxa"/>
            <w:bottom w:w="0" w:type="dxa"/>
            <w:right w:w="38" w:type="dxa"/>
          </w:tblCellMar>
        </w:tblPrEx>
        <w:trPr>
          <w:trHeight w:val="397" w:hRule="atLeast"/>
        </w:trPr>
        <w:tc>
          <w:tcPr>
            <w:tcW w:w="914" w:type="dxa"/>
            <w:vMerge w:val="continue"/>
            <w:tcBorders>
              <w:top w:val="nil"/>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textAlignment w:val="auto"/>
              <w:rPr>
                <w:rFonts w:hint="eastAsia" w:ascii="宋体" w:hAnsi="宋体" w:eastAsia="宋体" w:cs="宋体"/>
                <w:sz w:val="21"/>
                <w:szCs w:val="21"/>
              </w:rPr>
            </w:pPr>
          </w:p>
        </w:tc>
        <w:tc>
          <w:tcPr>
            <w:tcW w:w="777" w:type="dxa"/>
            <w:vMerge w:val="continue"/>
            <w:tcBorders>
              <w:top w:val="nil"/>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textAlignment w:val="auto"/>
              <w:rPr>
                <w:rFonts w:hint="eastAsia" w:ascii="宋体" w:hAnsi="宋体" w:eastAsia="宋体" w:cs="宋体"/>
                <w:sz w:val="21"/>
                <w:szCs w:val="21"/>
              </w:rPr>
            </w:pPr>
          </w:p>
        </w:tc>
        <w:tc>
          <w:tcPr>
            <w:tcW w:w="1103"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211" w:firstLine="0"/>
              <w:textAlignment w:val="auto"/>
              <w:rPr>
                <w:rFonts w:hint="eastAsia" w:ascii="宋体" w:hAnsi="宋体" w:eastAsia="宋体" w:cs="宋体"/>
                <w:sz w:val="21"/>
                <w:szCs w:val="21"/>
              </w:rPr>
            </w:pPr>
            <w:r>
              <w:rPr>
                <w:rFonts w:hint="eastAsia" w:ascii="宋体" w:hAnsi="宋体" w:eastAsia="宋体" w:cs="宋体"/>
                <w:sz w:val="21"/>
                <w:szCs w:val="21"/>
              </w:rPr>
              <w:t>库房仓容</w:t>
            </w:r>
          </w:p>
        </w:tc>
        <w:tc>
          <w:tcPr>
            <w:tcW w:w="1034"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72" w:firstLine="0"/>
              <w:jc w:val="both"/>
              <w:textAlignment w:val="auto"/>
              <w:rPr>
                <w:rFonts w:hint="eastAsia" w:ascii="宋体" w:hAnsi="宋体" w:eastAsia="宋体" w:cs="宋体"/>
                <w:sz w:val="21"/>
                <w:szCs w:val="21"/>
              </w:rPr>
            </w:pPr>
            <w:r>
              <w:rPr>
                <w:rFonts w:hint="eastAsia" w:ascii="宋体" w:hAnsi="宋体" w:eastAsia="宋体" w:cs="宋体"/>
                <w:sz w:val="21"/>
                <w:szCs w:val="21"/>
              </w:rPr>
              <w:t>油罐罐容</w:t>
            </w:r>
          </w:p>
        </w:tc>
        <w:tc>
          <w:tcPr>
            <w:tcW w:w="1071"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小麦日加工能力</w:t>
            </w:r>
          </w:p>
        </w:tc>
        <w:tc>
          <w:tcPr>
            <w:tcW w:w="1084"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稻谷日加工能力</w:t>
            </w:r>
          </w:p>
        </w:tc>
        <w:tc>
          <w:tcPr>
            <w:tcW w:w="1071"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油脂分装日加工能力</w:t>
            </w:r>
          </w:p>
        </w:tc>
        <w:tc>
          <w:tcPr>
            <w:tcW w:w="1084"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日运输能力</w:t>
            </w:r>
          </w:p>
        </w:tc>
        <w:tc>
          <w:tcPr>
            <w:tcW w:w="1129"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自有车辆日运输能力</w:t>
            </w:r>
          </w:p>
        </w:tc>
        <w:tc>
          <w:tcPr>
            <w:tcW w:w="1142"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小麦粉日供应能力</w:t>
            </w:r>
          </w:p>
        </w:tc>
        <w:tc>
          <w:tcPr>
            <w:tcW w:w="1117"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大米日供应能力</w:t>
            </w:r>
          </w:p>
        </w:tc>
        <w:tc>
          <w:tcPr>
            <w:tcW w:w="1180"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食用油日供应能力</w:t>
            </w:r>
          </w:p>
        </w:tc>
      </w:tr>
      <w:tr>
        <w:tblPrEx>
          <w:tblCellMar>
            <w:top w:w="96" w:type="dxa"/>
            <w:left w:w="58" w:type="dxa"/>
            <w:bottom w:w="0" w:type="dxa"/>
            <w:right w:w="38" w:type="dxa"/>
          </w:tblCellMar>
        </w:tblPrEx>
        <w:trPr>
          <w:trHeight w:val="397" w:hRule="atLeast"/>
        </w:trPr>
        <w:tc>
          <w:tcPr>
            <w:tcW w:w="914" w:type="dxa"/>
            <w:vMerge w:val="restart"/>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9" w:firstLine="0"/>
              <w:jc w:val="both"/>
              <w:textAlignment w:val="auto"/>
              <w:rPr>
                <w:rFonts w:hint="eastAsia" w:ascii="宋体" w:hAnsi="宋体" w:eastAsia="宋体" w:cs="宋体"/>
                <w:sz w:val="21"/>
                <w:szCs w:val="21"/>
              </w:rPr>
            </w:pPr>
            <w:r>
              <w:rPr>
                <w:rFonts w:hint="eastAsia" w:ascii="宋体" w:hAnsi="宋体" w:eastAsia="宋体" w:cs="宋体"/>
                <w:sz w:val="21"/>
                <w:szCs w:val="21"/>
              </w:rPr>
              <w:t>主产区</w:t>
            </w:r>
          </w:p>
        </w:tc>
        <w:tc>
          <w:tcPr>
            <w:tcW w:w="77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144" w:firstLine="0"/>
              <w:jc w:val="both"/>
              <w:textAlignment w:val="auto"/>
              <w:rPr>
                <w:rFonts w:hint="eastAsia" w:ascii="宋体" w:hAnsi="宋体" w:eastAsia="宋体" w:cs="宋体"/>
                <w:sz w:val="21"/>
                <w:szCs w:val="21"/>
              </w:rPr>
            </w:pPr>
            <w:r>
              <w:rPr>
                <w:rFonts w:hint="eastAsia" w:ascii="宋体" w:hAnsi="宋体" w:eastAsia="宋体" w:cs="宋体"/>
                <w:sz w:val="21"/>
                <w:szCs w:val="21"/>
              </w:rPr>
              <w:t>省级</w:t>
            </w:r>
          </w:p>
        </w:tc>
        <w:tc>
          <w:tcPr>
            <w:tcW w:w="1103"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3000</w:t>
            </w:r>
          </w:p>
        </w:tc>
        <w:tc>
          <w:tcPr>
            <w:tcW w:w="1034"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righ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300</w:t>
            </w:r>
          </w:p>
        </w:tc>
        <w:tc>
          <w:tcPr>
            <w:tcW w:w="1071"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150</w:t>
            </w:r>
          </w:p>
        </w:tc>
        <w:tc>
          <w:tcPr>
            <w:tcW w:w="1084"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righ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100</w:t>
            </w:r>
          </w:p>
        </w:tc>
        <w:tc>
          <w:tcPr>
            <w:tcW w:w="1071"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right="5" w:firstLine="0"/>
              <w:jc w:val="center"/>
              <w:textAlignment w:val="auto"/>
              <w:rPr>
                <w:rFonts w:hint="eastAsia" w:ascii="宋体" w:hAnsi="宋体" w:eastAsia="宋体" w:cs="宋体"/>
                <w:sz w:val="21"/>
                <w:szCs w:val="21"/>
              </w:rPr>
            </w:pPr>
            <w:r>
              <w:rPr>
                <w:rFonts w:hint="eastAsia" w:ascii="宋体" w:hAnsi="宋体" w:eastAsia="宋体" w:cs="宋体"/>
                <w:sz w:val="21"/>
                <w:szCs w:val="21"/>
              </w:rPr>
              <w:t>30</w:t>
            </w:r>
          </w:p>
        </w:tc>
        <w:tc>
          <w:tcPr>
            <w:tcW w:w="1084"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60</w:t>
            </w:r>
          </w:p>
        </w:tc>
        <w:tc>
          <w:tcPr>
            <w:tcW w:w="1129"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30</w:t>
            </w:r>
          </w:p>
        </w:tc>
        <w:tc>
          <w:tcPr>
            <w:tcW w:w="1142"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1"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w:t>
            </w:r>
          </w:p>
        </w:tc>
        <w:tc>
          <w:tcPr>
            <w:tcW w:w="111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w:t>
            </w:r>
          </w:p>
        </w:tc>
        <w:tc>
          <w:tcPr>
            <w:tcW w:w="1180"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2</w:t>
            </w:r>
          </w:p>
        </w:tc>
      </w:tr>
      <w:tr>
        <w:tblPrEx>
          <w:tblCellMar>
            <w:top w:w="96" w:type="dxa"/>
            <w:left w:w="58" w:type="dxa"/>
            <w:bottom w:w="0" w:type="dxa"/>
            <w:right w:w="38" w:type="dxa"/>
          </w:tblCellMar>
        </w:tblPrEx>
        <w:trPr>
          <w:trHeight w:val="397" w:hRule="atLeast"/>
        </w:trPr>
        <w:tc>
          <w:tcPr>
            <w:tcW w:w="914" w:type="dxa"/>
            <w:vMerge w:val="continue"/>
            <w:tcBorders>
              <w:top w:val="nil"/>
              <w:left w:val="single" w:color="000000" w:sz="8" w:space="0"/>
              <w:bottom w:val="nil"/>
              <w:right w:val="single" w:color="000000" w:sz="8" w:space="0"/>
            </w:tcBorders>
            <w:noWrap w:val="0"/>
            <w:vAlign w:val="top"/>
          </w:tcPr>
          <w:p>
            <w:pPr>
              <w:pageBreakBefore w:val="0"/>
              <w:kinsoku/>
              <w:wordWrap/>
              <w:overflowPunct/>
              <w:topLinePunct w:val="0"/>
              <w:autoSpaceDE/>
              <w:autoSpaceDN/>
              <w:bidi w:val="0"/>
              <w:spacing w:line="240" w:lineRule="exact"/>
              <w:ind w:left="0" w:firstLine="0"/>
              <w:textAlignment w:val="auto"/>
              <w:rPr>
                <w:rFonts w:hint="eastAsia" w:ascii="宋体" w:hAnsi="宋体" w:eastAsia="宋体" w:cs="宋体"/>
                <w:sz w:val="21"/>
                <w:szCs w:val="21"/>
              </w:rPr>
            </w:pPr>
          </w:p>
        </w:tc>
        <w:tc>
          <w:tcPr>
            <w:tcW w:w="77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144" w:firstLine="0"/>
              <w:jc w:val="both"/>
              <w:textAlignment w:val="auto"/>
              <w:rPr>
                <w:rFonts w:hint="eastAsia" w:ascii="宋体" w:hAnsi="宋体" w:eastAsia="宋体" w:cs="宋体"/>
                <w:sz w:val="21"/>
                <w:szCs w:val="21"/>
              </w:rPr>
            </w:pPr>
            <w:r>
              <w:rPr>
                <w:rFonts w:hint="eastAsia" w:ascii="宋体" w:hAnsi="宋体" w:eastAsia="宋体" w:cs="宋体"/>
                <w:sz w:val="21"/>
                <w:szCs w:val="21"/>
              </w:rPr>
              <w:t>市级</w:t>
            </w:r>
          </w:p>
        </w:tc>
        <w:tc>
          <w:tcPr>
            <w:tcW w:w="1103"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1500</w:t>
            </w:r>
          </w:p>
        </w:tc>
        <w:tc>
          <w:tcPr>
            <w:tcW w:w="1034"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righ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100</w:t>
            </w:r>
          </w:p>
        </w:tc>
        <w:tc>
          <w:tcPr>
            <w:tcW w:w="1071"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right="6" w:firstLine="0"/>
              <w:jc w:val="center"/>
              <w:textAlignment w:val="auto"/>
              <w:rPr>
                <w:rFonts w:hint="eastAsia" w:ascii="宋体" w:hAnsi="宋体" w:eastAsia="宋体" w:cs="宋体"/>
                <w:sz w:val="21"/>
                <w:szCs w:val="21"/>
              </w:rPr>
            </w:pPr>
            <w:r>
              <w:rPr>
                <w:rFonts w:hint="eastAsia" w:ascii="宋体" w:hAnsi="宋体" w:eastAsia="宋体" w:cs="宋体"/>
                <w:sz w:val="21"/>
                <w:szCs w:val="21"/>
              </w:rPr>
              <w:t>80</w:t>
            </w:r>
          </w:p>
        </w:tc>
        <w:tc>
          <w:tcPr>
            <w:tcW w:w="1084"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50</w:t>
            </w:r>
          </w:p>
        </w:tc>
        <w:tc>
          <w:tcPr>
            <w:tcW w:w="1071"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right="5"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w:t>
            </w:r>
          </w:p>
        </w:tc>
        <w:tc>
          <w:tcPr>
            <w:tcW w:w="1084"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25</w:t>
            </w:r>
          </w:p>
        </w:tc>
        <w:tc>
          <w:tcPr>
            <w:tcW w:w="1129"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15</w:t>
            </w:r>
          </w:p>
        </w:tc>
        <w:tc>
          <w:tcPr>
            <w:tcW w:w="1142"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right="5" w:firstLine="0"/>
              <w:jc w:val="center"/>
              <w:textAlignment w:val="auto"/>
              <w:rPr>
                <w:rFonts w:hint="eastAsia" w:ascii="宋体" w:hAnsi="宋体" w:eastAsia="宋体" w:cs="宋体"/>
                <w:sz w:val="21"/>
                <w:szCs w:val="21"/>
              </w:rPr>
            </w:pPr>
            <w:r>
              <w:rPr>
                <w:rFonts w:hint="eastAsia" w:ascii="宋体" w:hAnsi="宋体" w:eastAsia="宋体" w:cs="宋体"/>
                <w:sz w:val="21"/>
                <w:szCs w:val="21"/>
              </w:rPr>
              <w:t>3</w:t>
            </w:r>
          </w:p>
        </w:tc>
        <w:tc>
          <w:tcPr>
            <w:tcW w:w="111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2</w:t>
            </w:r>
          </w:p>
        </w:tc>
        <w:tc>
          <w:tcPr>
            <w:tcW w:w="1180"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1</w:t>
            </w:r>
          </w:p>
        </w:tc>
      </w:tr>
      <w:tr>
        <w:tblPrEx>
          <w:tblCellMar>
            <w:top w:w="96" w:type="dxa"/>
            <w:left w:w="58" w:type="dxa"/>
            <w:bottom w:w="0" w:type="dxa"/>
            <w:right w:w="38" w:type="dxa"/>
          </w:tblCellMar>
        </w:tblPrEx>
        <w:trPr>
          <w:trHeight w:val="397" w:hRule="atLeast"/>
        </w:trPr>
        <w:tc>
          <w:tcPr>
            <w:tcW w:w="914" w:type="dxa"/>
            <w:vMerge w:val="continue"/>
            <w:tcBorders>
              <w:top w:val="nil"/>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textAlignment w:val="auto"/>
              <w:rPr>
                <w:rFonts w:hint="eastAsia" w:ascii="宋体" w:hAnsi="宋体" w:eastAsia="宋体" w:cs="宋体"/>
                <w:sz w:val="21"/>
                <w:szCs w:val="21"/>
              </w:rPr>
            </w:pPr>
          </w:p>
        </w:tc>
        <w:tc>
          <w:tcPr>
            <w:tcW w:w="77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144" w:firstLine="0"/>
              <w:jc w:val="both"/>
              <w:textAlignment w:val="auto"/>
              <w:rPr>
                <w:rFonts w:hint="eastAsia" w:ascii="宋体" w:hAnsi="宋体" w:eastAsia="宋体" w:cs="宋体"/>
                <w:sz w:val="21"/>
                <w:szCs w:val="21"/>
              </w:rPr>
            </w:pPr>
            <w:r>
              <w:rPr>
                <w:rFonts w:hint="eastAsia" w:ascii="宋体" w:hAnsi="宋体" w:eastAsia="宋体" w:cs="宋体"/>
                <w:sz w:val="21"/>
                <w:szCs w:val="21"/>
              </w:rPr>
              <w:t>县级</w:t>
            </w:r>
          </w:p>
        </w:tc>
        <w:tc>
          <w:tcPr>
            <w:tcW w:w="1103"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200</w:t>
            </w:r>
          </w:p>
        </w:tc>
        <w:tc>
          <w:tcPr>
            <w:tcW w:w="1034"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w:t>
            </w:r>
          </w:p>
        </w:tc>
        <w:tc>
          <w:tcPr>
            <w:tcW w:w="1071"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right="6"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w:t>
            </w:r>
          </w:p>
        </w:tc>
        <w:tc>
          <w:tcPr>
            <w:tcW w:w="1084"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w:t>
            </w:r>
          </w:p>
        </w:tc>
        <w:tc>
          <w:tcPr>
            <w:tcW w:w="1071"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1" w:firstLine="0"/>
              <w:jc w:val="center"/>
              <w:textAlignment w:val="auto"/>
              <w:rPr>
                <w:rFonts w:hint="eastAsia" w:ascii="宋体" w:hAnsi="宋体" w:eastAsia="宋体" w:cs="宋体"/>
                <w:sz w:val="21"/>
                <w:szCs w:val="21"/>
              </w:rPr>
            </w:pPr>
            <w:r>
              <w:rPr>
                <w:rFonts w:hint="eastAsia" w:ascii="宋体" w:hAnsi="宋体" w:eastAsia="宋体" w:cs="宋体"/>
                <w:sz w:val="21"/>
                <w:szCs w:val="21"/>
              </w:rPr>
              <w:t>1</w:t>
            </w:r>
          </w:p>
        </w:tc>
        <w:tc>
          <w:tcPr>
            <w:tcW w:w="1084"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w:t>
            </w:r>
          </w:p>
        </w:tc>
        <w:tc>
          <w:tcPr>
            <w:tcW w:w="1129"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5</w:t>
            </w:r>
          </w:p>
        </w:tc>
        <w:tc>
          <w:tcPr>
            <w:tcW w:w="1142"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right="5" w:firstLine="0"/>
              <w:jc w:val="center"/>
              <w:textAlignment w:val="auto"/>
              <w:rPr>
                <w:rFonts w:hint="eastAsia" w:ascii="宋体" w:hAnsi="宋体" w:eastAsia="宋体" w:cs="宋体"/>
                <w:sz w:val="21"/>
                <w:szCs w:val="21"/>
              </w:rPr>
            </w:pPr>
            <w:r>
              <w:rPr>
                <w:rFonts w:hint="eastAsia" w:ascii="宋体" w:hAnsi="宋体" w:eastAsia="宋体" w:cs="宋体"/>
                <w:sz w:val="21"/>
                <w:szCs w:val="21"/>
              </w:rPr>
              <w:t>0.5</w:t>
            </w:r>
          </w:p>
        </w:tc>
        <w:tc>
          <w:tcPr>
            <w:tcW w:w="111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0.5</w:t>
            </w:r>
          </w:p>
        </w:tc>
        <w:tc>
          <w:tcPr>
            <w:tcW w:w="1180"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0.5</w:t>
            </w:r>
          </w:p>
        </w:tc>
      </w:tr>
      <w:tr>
        <w:tblPrEx>
          <w:tblCellMar>
            <w:top w:w="96" w:type="dxa"/>
            <w:left w:w="58" w:type="dxa"/>
            <w:bottom w:w="0" w:type="dxa"/>
            <w:right w:w="38" w:type="dxa"/>
          </w:tblCellMar>
        </w:tblPrEx>
        <w:trPr>
          <w:trHeight w:val="397" w:hRule="atLeast"/>
        </w:trPr>
        <w:tc>
          <w:tcPr>
            <w:tcW w:w="914" w:type="dxa"/>
            <w:vMerge w:val="restart"/>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9" w:firstLine="0"/>
              <w:jc w:val="both"/>
              <w:textAlignment w:val="auto"/>
              <w:rPr>
                <w:rFonts w:hint="eastAsia" w:ascii="宋体" w:hAnsi="宋体" w:eastAsia="宋体" w:cs="宋体"/>
                <w:sz w:val="21"/>
                <w:szCs w:val="21"/>
              </w:rPr>
            </w:pPr>
            <w:r>
              <w:rPr>
                <w:rFonts w:hint="eastAsia" w:ascii="宋体" w:hAnsi="宋体" w:eastAsia="宋体" w:cs="宋体"/>
                <w:sz w:val="21"/>
                <w:szCs w:val="21"/>
              </w:rPr>
              <w:t>平衡区</w:t>
            </w:r>
          </w:p>
        </w:tc>
        <w:tc>
          <w:tcPr>
            <w:tcW w:w="77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144" w:firstLine="0"/>
              <w:jc w:val="both"/>
              <w:textAlignment w:val="auto"/>
              <w:rPr>
                <w:rFonts w:hint="eastAsia" w:ascii="宋体" w:hAnsi="宋体" w:eastAsia="宋体" w:cs="宋体"/>
                <w:sz w:val="21"/>
                <w:szCs w:val="21"/>
              </w:rPr>
            </w:pPr>
            <w:r>
              <w:rPr>
                <w:rFonts w:hint="eastAsia" w:ascii="宋体" w:hAnsi="宋体" w:eastAsia="宋体" w:cs="宋体"/>
                <w:sz w:val="21"/>
                <w:szCs w:val="21"/>
              </w:rPr>
              <w:t>省级</w:t>
            </w:r>
          </w:p>
        </w:tc>
        <w:tc>
          <w:tcPr>
            <w:tcW w:w="1103"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2500</w:t>
            </w:r>
          </w:p>
        </w:tc>
        <w:tc>
          <w:tcPr>
            <w:tcW w:w="1034"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righ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200</w:t>
            </w:r>
          </w:p>
        </w:tc>
        <w:tc>
          <w:tcPr>
            <w:tcW w:w="1071"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right="6" w:firstLine="0"/>
              <w:jc w:val="center"/>
              <w:textAlignment w:val="auto"/>
              <w:rPr>
                <w:rFonts w:hint="eastAsia" w:ascii="宋体" w:hAnsi="宋体" w:eastAsia="宋体" w:cs="宋体"/>
                <w:sz w:val="21"/>
                <w:szCs w:val="21"/>
              </w:rPr>
            </w:pPr>
            <w:r>
              <w:rPr>
                <w:rFonts w:hint="eastAsia" w:ascii="宋体" w:hAnsi="宋体" w:eastAsia="宋体" w:cs="宋体"/>
                <w:sz w:val="21"/>
                <w:szCs w:val="21"/>
              </w:rPr>
              <w:t>90</w:t>
            </w:r>
          </w:p>
        </w:tc>
        <w:tc>
          <w:tcPr>
            <w:tcW w:w="1084"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60</w:t>
            </w:r>
          </w:p>
        </w:tc>
        <w:tc>
          <w:tcPr>
            <w:tcW w:w="1071"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right="5" w:firstLine="0"/>
              <w:jc w:val="center"/>
              <w:textAlignment w:val="auto"/>
              <w:rPr>
                <w:rFonts w:hint="eastAsia" w:ascii="宋体" w:hAnsi="宋体" w:eastAsia="宋体" w:cs="宋体"/>
                <w:sz w:val="21"/>
                <w:szCs w:val="21"/>
              </w:rPr>
            </w:pPr>
            <w:r>
              <w:rPr>
                <w:rFonts w:hint="eastAsia" w:ascii="宋体" w:hAnsi="宋体" w:eastAsia="宋体" w:cs="宋体"/>
                <w:sz w:val="21"/>
                <w:szCs w:val="21"/>
              </w:rPr>
              <w:t>20</w:t>
            </w:r>
          </w:p>
        </w:tc>
        <w:tc>
          <w:tcPr>
            <w:tcW w:w="1084"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30</w:t>
            </w:r>
          </w:p>
        </w:tc>
        <w:tc>
          <w:tcPr>
            <w:tcW w:w="1129"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20</w:t>
            </w:r>
          </w:p>
        </w:tc>
        <w:tc>
          <w:tcPr>
            <w:tcW w:w="1142"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right="5" w:firstLine="0"/>
              <w:jc w:val="center"/>
              <w:textAlignment w:val="auto"/>
              <w:rPr>
                <w:rFonts w:hint="eastAsia" w:ascii="宋体" w:hAnsi="宋体" w:eastAsia="宋体" w:cs="宋体"/>
                <w:sz w:val="21"/>
                <w:szCs w:val="21"/>
              </w:rPr>
            </w:pPr>
            <w:r>
              <w:rPr>
                <w:rFonts w:hint="eastAsia" w:ascii="宋体" w:hAnsi="宋体" w:eastAsia="宋体" w:cs="宋体"/>
                <w:sz w:val="21"/>
                <w:szCs w:val="21"/>
              </w:rPr>
              <w:t>8</w:t>
            </w:r>
          </w:p>
        </w:tc>
        <w:tc>
          <w:tcPr>
            <w:tcW w:w="111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8</w:t>
            </w:r>
          </w:p>
        </w:tc>
        <w:tc>
          <w:tcPr>
            <w:tcW w:w="1180"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2</w:t>
            </w:r>
          </w:p>
        </w:tc>
      </w:tr>
      <w:tr>
        <w:tblPrEx>
          <w:tblCellMar>
            <w:top w:w="96" w:type="dxa"/>
            <w:left w:w="58" w:type="dxa"/>
            <w:bottom w:w="0" w:type="dxa"/>
            <w:right w:w="38" w:type="dxa"/>
          </w:tblCellMar>
        </w:tblPrEx>
        <w:trPr>
          <w:trHeight w:val="397" w:hRule="atLeast"/>
        </w:trPr>
        <w:tc>
          <w:tcPr>
            <w:tcW w:w="914" w:type="dxa"/>
            <w:vMerge w:val="continue"/>
            <w:tcBorders>
              <w:top w:val="nil"/>
              <w:left w:val="single" w:color="000000" w:sz="8" w:space="0"/>
              <w:bottom w:val="nil"/>
              <w:right w:val="single" w:color="000000" w:sz="8" w:space="0"/>
            </w:tcBorders>
            <w:noWrap w:val="0"/>
            <w:vAlign w:val="top"/>
          </w:tcPr>
          <w:p>
            <w:pPr>
              <w:pageBreakBefore w:val="0"/>
              <w:kinsoku/>
              <w:wordWrap/>
              <w:overflowPunct/>
              <w:topLinePunct w:val="0"/>
              <w:autoSpaceDE/>
              <w:autoSpaceDN/>
              <w:bidi w:val="0"/>
              <w:spacing w:line="240" w:lineRule="exact"/>
              <w:ind w:left="0" w:firstLine="0"/>
              <w:textAlignment w:val="auto"/>
              <w:rPr>
                <w:rFonts w:hint="eastAsia" w:ascii="宋体" w:hAnsi="宋体" w:eastAsia="宋体" w:cs="宋体"/>
                <w:sz w:val="21"/>
                <w:szCs w:val="21"/>
              </w:rPr>
            </w:pPr>
          </w:p>
        </w:tc>
        <w:tc>
          <w:tcPr>
            <w:tcW w:w="77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144" w:firstLine="0"/>
              <w:jc w:val="both"/>
              <w:textAlignment w:val="auto"/>
              <w:rPr>
                <w:rFonts w:hint="eastAsia" w:ascii="宋体" w:hAnsi="宋体" w:eastAsia="宋体" w:cs="宋体"/>
                <w:sz w:val="21"/>
                <w:szCs w:val="21"/>
              </w:rPr>
            </w:pPr>
            <w:r>
              <w:rPr>
                <w:rFonts w:hint="eastAsia" w:ascii="宋体" w:hAnsi="宋体" w:eastAsia="宋体" w:cs="宋体"/>
                <w:sz w:val="21"/>
                <w:szCs w:val="21"/>
              </w:rPr>
              <w:t>市级</w:t>
            </w:r>
          </w:p>
        </w:tc>
        <w:tc>
          <w:tcPr>
            <w:tcW w:w="1103"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1000</w:t>
            </w:r>
          </w:p>
        </w:tc>
        <w:tc>
          <w:tcPr>
            <w:tcW w:w="1034"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80</w:t>
            </w:r>
          </w:p>
        </w:tc>
        <w:tc>
          <w:tcPr>
            <w:tcW w:w="1071"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right="6" w:firstLine="0"/>
              <w:jc w:val="center"/>
              <w:textAlignment w:val="auto"/>
              <w:rPr>
                <w:rFonts w:hint="eastAsia" w:ascii="宋体" w:hAnsi="宋体" w:eastAsia="宋体" w:cs="宋体"/>
                <w:sz w:val="21"/>
                <w:szCs w:val="21"/>
              </w:rPr>
            </w:pPr>
            <w:r>
              <w:rPr>
                <w:rFonts w:hint="eastAsia" w:ascii="宋体" w:hAnsi="宋体" w:eastAsia="宋体" w:cs="宋体"/>
                <w:sz w:val="21"/>
                <w:szCs w:val="21"/>
              </w:rPr>
              <w:t>50</w:t>
            </w:r>
          </w:p>
        </w:tc>
        <w:tc>
          <w:tcPr>
            <w:tcW w:w="1084"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15</w:t>
            </w:r>
          </w:p>
        </w:tc>
        <w:tc>
          <w:tcPr>
            <w:tcW w:w="1071"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1" w:firstLine="0"/>
              <w:jc w:val="center"/>
              <w:textAlignment w:val="auto"/>
              <w:rPr>
                <w:rFonts w:hint="eastAsia" w:ascii="宋体" w:hAnsi="宋体" w:eastAsia="宋体" w:cs="宋体"/>
                <w:sz w:val="21"/>
                <w:szCs w:val="21"/>
              </w:rPr>
            </w:pPr>
            <w:r>
              <w:rPr>
                <w:rFonts w:hint="eastAsia" w:ascii="宋体" w:hAnsi="宋体" w:eastAsia="宋体" w:cs="宋体"/>
                <w:sz w:val="21"/>
                <w:szCs w:val="21"/>
              </w:rPr>
              <w:t>5</w:t>
            </w:r>
          </w:p>
        </w:tc>
        <w:tc>
          <w:tcPr>
            <w:tcW w:w="1084"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w:t>
            </w:r>
          </w:p>
        </w:tc>
        <w:tc>
          <w:tcPr>
            <w:tcW w:w="1129"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5</w:t>
            </w:r>
          </w:p>
        </w:tc>
        <w:tc>
          <w:tcPr>
            <w:tcW w:w="1142"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right="5" w:firstLine="0"/>
              <w:jc w:val="center"/>
              <w:textAlignment w:val="auto"/>
              <w:rPr>
                <w:rFonts w:hint="eastAsia" w:ascii="宋体" w:hAnsi="宋体" w:eastAsia="宋体" w:cs="宋体"/>
                <w:sz w:val="21"/>
                <w:szCs w:val="21"/>
              </w:rPr>
            </w:pPr>
            <w:r>
              <w:rPr>
                <w:rFonts w:hint="eastAsia" w:ascii="宋体" w:hAnsi="宋体" w:eastAsia="宋体" w:cs="宋体"/>
                <w:sz w:val="21"/>
                <w:szCs w:val="21"/>
              </w:rPr>
              <w:t>3</w:t>
            </w:r>
          </w:p>
        </w:tc>
        <w:tc>
          <w:tcPr>
            <w:tcW w:w="111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2</w:t>
            </w:r>
          </w:p>
        </w:tc>
        <w:tc>
          <w:tcPr>
            <w:tcW w:w="1180"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1</w:t>
            </w:r>
          </w:p>
        </w:tc>
      </w:tr>
      <w:tr>
        <w:tblPrEx>
          <w:tblCellMar>
            <w:top w:w="96" w:type="dxa"/>
            <w:left w:w="58" w:type="dxa"/>
            <w:bottom w:w="0" w:type="dxa"/>
            <w:right w:w="38" w:type="dxa"/>
          </w:tblCellMar>
        </w:tblPrEx>
        <w:trPr>
          <w:trHeight w:val="397" w:hRule="atLeast"/>
        </w:trPr>
        <w:tc>
          <w:tcPr>
            <w:tcW w:w="914" w:type="dxa"/>
            <w:vMerge w:val="continue"/>
            <w:tcBorders>
              <w:top w:val="nil"/>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textAlignment w:val="auto"/>
              <w:rPr>
                <w:rFonts w:hint="eastAsia" w:ascii="宋体" w:hAnsi="宋体" w:eastAsia="宋体" w:cs="宋体"/>
                <w:sz w:val="21"/>
                <w:szCs w:val="21"/>
              </w:rPr>
            </w:pPr>
          </w:p>
        </w:tc>
        <w:tc>
          <w:tcPr>
            <w:tcW w:w="77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144" w:firstLine="0"/>
              <w:jc w:val="both"/>
              <w:textAlignment w:val="auto"/>
              <w:rPr>
                <w:rFonts w:hint="eastAsia" w:ascii="宋体" w:hAnsi="宋体" w:eastAsia="宋体" w:cs="宋体"/>
                <w:sz w:val="21"/>
                <w:szCs w:val="21"/>
              </w:rPr>
            </w:pPr>
            <w:r>
              <w:rPr>
                <w:rFonts w:hint="eastAsia" w:ascii="宋体" w:hAnsi="宋体" w:eastAsia="宋体" w:cs="宋体"/>
                <w:sz w:val="21"/>
                <w:szCs w:val="21"/>
              </w:rPr>
              <w:t>县级</w:t>
            </w:r>
          </w:p>
        </w:tc>
        <w:tc>
          <w:tcPr>
            <w:tcW w:w="1103"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100</w:t>
            </w:r>
          </w:p>
        </w:tc>
        <w:tc>
          <w:tcPr>
            <w:tcW w:w="1034"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w:t>
            </w:r>
          </w:p>
        </w:tc>
        <w:tc>
          <w:tcPr>
            <w:tcW w:w="1071"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right="6"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w:t>
            </w:r>
          </w:p>
        </w:tc>
        <w:tc>
          <w:tcPr>
            <w:tcW w:w="1084"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righ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5</w:t>
            </w:r>
          </w:p>
        </w:tc>
        <w:tc>
          <w:tcPr>
            <w:tcW w:w="1071"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1" w:firstLine="0"/>
              <w:jc w:val="center"/>
              <w:textAlignment w:val="auto"/>
              <w:rPr>
                <w:rFonts w:hint="eastAsia" w:ascii="宋体" w:hAnsi="宋体" w:eastAsia="宋体" w:cs="宋体"/>
                <w:sz w:val="21"/>
                <w:szCs w:val="21"/>
              </w:rPr>
            </w:pPr>
            <w:r>
              <w:rPr>
                <w:rFonts w:hint="eastAsia" w:ascii="宋体" w:hAnsi="宋体" w:eastAsia="宋体" w:cs="宋体"/>
                <w:sz w:val="21"/>
                <w:szCs w:val="21"/>
              </w:rPr>
              <w:t>1</w:t>
            </w:r>
          </w:p>
        </w:tc>
        <w:tc>
          <w:tcPr>
            <w:tcW w:w="1084"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5</w:t>
            </w:r>
          </w:p>
        </w:tc>
        <w:tc>
          <w:tcPr>
            <w:tcW w:w="1129"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1</w:t>
            </w:r>
          </w:p>
        </w:tc>
        <w:tc>
          <w:tcPr>
            <w:tcW w:w="1142"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right="5" w:firstLine="0"/>
              <w:jc w:val="center"/>
              <w:textAlignment w:val="auto"/>
              <w:rPr>
                <w:rFonts w:hint="eastAsia" w:ascii="宋体" w:hAnsi="宋体" w:eastAsia="宋体" w:cs="宋体"/>
                <w:sz w:val="21"/>
                <w:szCs w:val="21"/>
              </w:rPr>
            </w:pPr>
            <w:r>
              <w:rPr>
                <w:rFonts w:hint="eastAsia" w:ascii="宋体" w:hAnsi="宋体" w:eastAsia="宋体" w:cs="宋体"/>
                <w:sz w:val="21"/>
                <w:szCs w:val="21"/>
              </w:rPr>
              <w:t>0.5</w:t>
            </w:r>
          </w:p>
        </w:tc>
        <w:tc>
          <w:tcPr>
            <w:tcW w:w="111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0.5</w:t>
            </w:r>
          </w:p>
        </w:tc>
        <w:tc>
          <w:tcPr>
            <w:tcW w:w="1180"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0.5</w:t>
            </w:r>
          </w:p>
        </w:tc>
      </w:tr>
      <w:tr>
        <w:tblPrEx>
          <w:tblCellMar>
            <w:top w:w="96" w:type="dxa"/>
            <w:left w:w="58" w:type="dxa"/>
            <w:bottom w:w="0" w:type="dxa"/>
            <w:right w:w="38" w:type="dxa"/>
          </w:tblCellMar>
        </w:tblPrEx>
        <w:trPr>
          <w:trHeight w:val="397" w:hRule="atLeast"/>
        </w:trPr>
        <w:tc>
          <w:tcPr>
            <w:tcW w:w="914" w:type="dxa"/>
            <w:vMerge w:val="restart"/>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9" w:firstLine="0"/>
              <w:jc w:val="both"/>
              <w:textAlignment w:val="auto"/>
              <w:rPr>
                <w:rFonts w:hint="eastAsia" w:ascii="宋体" w:hAnsi="宋体" w:eastAsia="宋体" w:cs="宋体"/>
                <w:sz w:val="21"/>
                <w:szCs w:val="21"/>
              </w:rPr>
            </w:pPr>
            <w:r>
              <w:rPr>
                <w:rFonts w:hint="eastAsia" w:ascii="宋体" w:hAnsi="宋体" w:eastAsia="宋体" w:cs="宋体"/>
                <w:sz w:val="21"/>
                <w:szCs w:val="21"/>
              </w:rPr>
              <w:t>主销区</w:t>
            </w:r>
          </w:p>
        </w:tc>
        <w:tc>
          <w:tcPr>
            <w:tcW w:w="77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144" w:firstLine="0"/>
              <w:jc w:val="both"/>
              <w:textAlignment w:val="auto"/>
              <w:rPr>
                <w:rFonts w:hint="eastAsia" w:ascii="宋体" w:hAnsi="宋体" w:eastAsia="宋体" w:cs="宋体"/>
                <w:sz w:val="21"/>
                <w:szCs w:val="21"/>
              </w:rPr>
            </w:pPr>
            <w:r>
              <w:rPr>
                <w:rFonts w:hint="eastAsia" w:ascii="宋体" w:hAnsi="宋体" w:eastAsia="宋体" w:cs="宋体"/>
                <w:sz w:val="21"/>
                <w:szCs w:val="21"/>
              </w:rPr>
              <w:t>省级</w:t>
            </w:r>
          </w:p>
        </w:tc>
        <w:tc>
          <w:tcPr>
            <w:tcW w:w="1103"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1000</w:t>
            </w:r>
          </w:p>
        </w:tc>
        <w:tc>
          <w:tcPr>
            <w:tcW w:w="1034"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righ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200</w:t>
            </w:r>
          </w:p>
        </w:tc>
        <w:tc>
          <w:tcPr>
            <w:tcW w:w="1071"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right="6" w:firstLine="0"/>
              <w:jc w:val="center"/>
              <w:textAlignment w:val="auto"/>
              <w:rPr>
                <w:rFonts w:hint="eastAsia" w:ascii="宋体" w:hAnsi="宋体" w:eastAsia="宋体" w:cs="宋体"/>
                <w:sz w:val="21"/>
                <w:szCs w:val="21"/>
              </w:rPr>
            </w:pPr>
            <w:r>
              <w:rPr>
                <w:rFonts w:hint="eastAsia" w:ascii="宋体" w:hAnsi="宋体" w:eastAsia="宋体" w:cs="宋体"/>
                <w:sz w:val="21"/>
                <w:szCs w:val="21"/>
              </w:rPr>
              <w:t>80</w:t>
            </w:r>
          </w:p>
        </w:tc>
        <w:tc>
          <w:tcPr>
            <w:tcW w:w="1084"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50</w:t>
            </w:r>
          </w:p>
        </w:tc>
        <w:tc>
          <w:tcPr>
            <w:tcW w:w="1071"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right="5" w:firstLine="0"/>
              <w:jc w:val="center"/>
              <w:textAlignment w:val="auto"/>
              <w:rPr>
                <w:rFonts w:hint="eastAsia" w:ascii="宋体" w:hAnsi="宋体" w:eastAsia="宋体" w:cs="宋体"/>
                <w:sz w:val="21"/>
                <w:szCs w:val="21"/>
              </w:rPr>
            </w:pPr>
            <w:r>
              <w:rPr>
                <w:rFonts w:hint="eastAsia" w:ascii="宋体" w:hAnsi="宋体" w:eastAsia="宋体" w:cs="宋体"/>
                <w:sz w:val="21"/>
                <w:szCs w:val="21"/>
              </w:rPr>
              <w:t>20</w:t>
            </w:r>
          </w:p>
        </w:tc>
        <w:tc>
          <w:tcPr>
            <w:tcW w:w="1084"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100</w:t>
            </w:r>
          </w:p>
        </w:tc>
        <w:tc>
          <w:tcPr>
            <w:tcW w:w="1129"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50</w:t>
            </w:r>
          </w:p>
        </w:tc>
        <w:tc>
          <w:tcPr>
            <w:tcW w:w="1142"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1" w:firstLine="0"/>
              <w:jc w:val="center"/>
              <w:textAlignment w:val="auto"/>
              <w:rPr>
                <w:rFonts w:hint="eastAsia" w:ascii="宋体" w:hAnsi="宋体" w:eastAsia="宋体" w:cs="宋体"/>
                <w:sz w:val="21"/>
                <w:szCs w:val="21"/>
              </w:rPr>
            </w:pPr>
            <w:r>
              <w:rPr>
                <w:rFonts w:hint="eastAsia" w:ascii="宋体" w:hAnsi="宋体" w:eastAsia="宋体" w:cs="宋体"/>
                <w:sz w:val="21"/>
                <w:szCs w:val="21"/>
              </w:rPr>
              <w:t>18</w:t>
            </w:r>
          </w:p>
        </w:tc>
        <w:tc>
          <w:tcPr>
            <w:tcW w:w="111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w:t>
            </w:r>
          </w:p>
        </w:tc>
        <w:tc>
          <w:tcPr>
            <w:tcW w:w="1180"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5</w:t>
            </w:r>
          </w:p>
        </w:tc>
      </w:tr>
      <w:tr>
        <w:tblPrEx>
          <w:tblCellMar>
            <w:top w:w="96" w:type="dxa"/>
            <w:left w:w="58" w:type="dxa"/>
            <w:bottom w:w="0" w:type="dxa"/>
            <w:right w:w="38" w:type="dxa"/>
          </w:tblCellMar>
        </w:tblPrEx>
        <w:trPr>
          <w:trHeight w:val="397" w:hRule="atLeast"/>
        </w:trPr>
        <w:tc>
          <w:tcPr>
            <w:tcW w:w="914" w:type="dxa"/>
            <w:vMerge w:val="continue"/>
            <w:tcBorders>
              <w:top w:val="nil"/>
              <w:left w:val="single" w:color="000000" w:sz="8" w:space="0"/>
              <w:bottom w:val="nil"/>
              <w:right w:val="single" w:color="000000" w:sz="8" w:space="0"/>
            </w:tcBorders>
            <w:noWrap w:val="0"/>
            <w:vAlign w:val="top"/>
          </w:tcPr>
          <w:p>
            <w:pPr>
              <w:pageBreakBefore w:val="0"/>
              <w:kinsoku/>
              <w:wordWrap/>
              <w:overflowPunct/>
              <w:topLinePunct w:val="0"/>
              <w:autoSpaceDE/>
              <w:autoSpaceDN/>
              <w:bidi w:val="0"/>
              <w:spacing w:line="240" w:lineRule="exact"/>
              <w:ind w:left="0" w:firstLine="0"/>
              <w:textAlignment w:val="auto"/>
              <w:rPr>
                <w:rFonts w:hint="eastAsia" w:ascii="宋体" w:hAnsi="宋体" w:eastAsia="宋体" w:cs="宋体"/>
                <w:sz w:val="21"/>
                <w:szCs w:val="21"/>
              </w:rPr>
            </w:pPr>
          </w:p>
        </w:tc>
        <w:tc>
          <w:tcPr>
            <w:tcW w:w="77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144" w:firstLine="0"/>
              <w:jc w:val="both"/>
              <w:textAlignment w:val="auto"/>
              <w:rPr>
                <w:rFonts w:hint="eastAsia" w:ascii="宋体" w:hAnsi="宋体" w:eastAsia="宋体" w:cs="宋体"/>
                <w:sz w:val="21"/>
                <w:szCs w:val="21"/>
              </w:rPr>
            </w:pPr>
            <w:r>
              <w:rPr>
                <w:rFonts w:hint="eastAsia" w:ascii="宋体" w:hAnsi="宋体" w:eastAsia="宋体" w:cs="宋体"/>
                <w:sz w:val="21"/>
                <w:szCs w:val="21"/>
              </w:rPr>
              <w:t>市级</w:t>
            </w:r>
          </w:p>
        </w:tc>
        <w:tc>
          <w:tcPr>
            <w:tcW w:w="1103"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200</w:t>
            </w:r>
          </w:p>
        </w:tc>
        <w:tc>
          <w:tcPr>
            <w:tcW w:w="1034"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50</w:t>
            </w:r>
          </w:p>
        </w:tc>
        <w:tc>
          <w:tcPr>
            <w:tcW w:w="1071"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right="6" w:firstLine="0"/>
              <w:jc w:val="center"/>
              <w:textAlignment w:val="auto"/>
              <w:rPr>
                <w:rFonts w:hint="eastAsia" w:ascii="宋体" w:hAnsi="宋体" w:eastAsia="宋体" w:cs="宋体"/>
                <w:sz w:val="21"/>
                <w:szCs w:val="21"/>
              </w:rPr>
            </w:pPr>
            <w:r>
              <w:rPr>
                <w:rFonts w:hint="eastAsia" w:ascii="宋体" w:hAnsi="宋体" w:eastAsia="宋体" w:cs="宋体"/>
                <w:sz w:val="21"/>
                <w:szCs w:val="21"/>
              </w:rPr>
              <w:t>40</w:t>
            </w:r>
          </w:p>
        </w:tc>
        <w:tc>
          <w:tcPr>
            <w:tcW w:w="1084"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20</w:t>
            </w:r>
          </w:p>
        </w:tc>
        <w:tc>
          <w:tcPr>
            <w:tcW w:w="1071"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1" w:firstLine="0"/>
              <w:jc w:val="center"/>
              <w:textAlignment w:val="auto"/>
              <w:rPr>
                <w:rFonts w:hint="eastAsia" w:ascii="宋体" w:hAnsi="宋体" w:eastAsia="宋体" w:cs="宋体"/>
                <w:sz w:val="21"/>
                <w:szCs w:val="21"/>
              </w:rPr>
            </w:pPr>
            <w:r>
              <w:rPr>
                <w:rFonts w:hint="eastAsia" w:ascii="宋体" w:hAnsi="宋体" w:eastAsia="宋体" w:cs="宋体"/>
                <w:sz w:val="21"/>
                <w:szCs w:val="21"/>
              </w:rPr>
              <w:t>5</w:t>
            </w:r>
          </w:p>
        </w:tc>
        <w:tc>
          <w:tcPr>
            <w:tcW w:w="1084"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15</w:t>
            </w:r>
          </w:p>
        </w:tc>
        <w:tc>
          <w:tcPr>
            <w:tcW w:w="1129"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w:t>
            </w:r>
          </w:p>
        </w:tc>
        <w:tc>
          <w:tcPr>
            <w:tcW w:w="1142"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right="5" w:firstLine="0"/>
              <w:jc w:val="center"/>
              <w:textAlignment w:val="auto"/>
              <w:rPr>
                <w:rFonts w:hint="eastAsia" w:ascii="宋体" w:hAnsi="宋体" w:eastAsia="宋体" w:cs="宋体"/>
                <w:sz w:val="21"/>
                <w:szCs w:val="21"/>
              </w:rPr>
            </w:pPr>
            <w:r>
              <w:rPr>
                <w:rFonts w:hint="eastAsia" w:ascii="宋体" w:hAnsi="宋体" w:eastAsia="宋体" w:cs="宋体"/>
                <w:sz w:val="21"/>
                <w:szCs w:val="21"/>
              </w:rPr>
              <w:t>4</w:t>
            </w:r>
          </w:p>
        </w:tc>
        <w:tc>
          <w:tcPr>
            <w:tcW w:w="111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2</w:t>
            </w:r>
          </w:p>
        </w:tc>
        <w:tc>
          <w:tcPr>
            <w:tcW w:w="1180"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2</w:t>
            </w:r>
          </w:p>
        </w:tc>
      </w:tr>
      <w:tr>
        <w:tblPrEx>
          <w:tblCellMar>
            <w:top w:w="96" w:type="dxa"/>
            <w:left w:w="58" w:type="dxa"/>
            <w:bottom w:w="0" w:type="dxa"/>
            <w:right w:w="38" w:type="dxa"/>
          </w:tblCellMar>
        </w:tblPrEx>
        <w:trPr>
          <w:trHeight w:val="397" w:hRule="atLeast"/>
        </w:trPr>
        <w:tc>
          <w:tcPr>
            <w:tcW w:w="914" w:type="dxa"/>
            <w:vMerge w:val="continue"/>
            <w:tcBorders>
              <w:top w:val="nil"/>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textAlignment w:val="auto"/>
              <w:rPr>
                <w:rFonts w:hint="eastAsia" w:ascii="宋体" w:hAnsi="宋体" w:eastAsia="宋体" w:cs="宋体"/>
                <w:sz w:val="21"/>
                <w:szCs w:val="21"/>
              </w:rPr>
            </w:pPr>
          </w:p>
        </w:tc>
        <w:tc>
          <w:tcPr>
            <w:tcW w:w="77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144" w:firstLine="0"/>
              <w:jc w:val="both"/>
              <w:textAlignment w:val="auto"/>
              <w:rPr>
                <w:rFonts w:hint="eastAsia" w:ascii="宋体" w:hAnsi="宋体" w:eastAsia="宋体" w:cs="宋体"/>
                <w:sz w:val="21"/>
                <w:szCs w:val="21"/>
              </w:rPr>
            </w:pPr>
            <w:r>
              <w:rPr>
                <w:rFonts w:hint="eastAsia" w:ascii="宋体" w:hAnsi="宋体" w:eastAsia="宋体" w:cs="宋体"/>
                <w:sz w:val="21"/>
                <w:szCs w:val="21"/>
              </w:rPr>
              <w:t>县级</w:t>
            </w:r>
          </w:p>
        </w:tc>
        <w:tc>
          <w:tcPr>
            <w:tcW w:w="1103"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20</w:t>
            </w:r>
          </w:p>
        </w:tc>
        <w:tc>
          <w:tcPr>
            <w:tcW w:w="1034"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righ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5</w:t>
            </w:r>
          </w:p>
        </w:tc>
        <w:tc>
          <w:tcPr>
            <w:tcW w:w="1071"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right="6"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w:t>
            </w:r>
          </w:p>
        </w:tc>
        <w:tc>
          <w:tcPr>
            <w:tcW w:w="1084"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righ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5</w:t>
            </w:r>
          </w:p>
        </w:tc>
        <w:tc>
          <w:tcPr>
            <w:tcW w:w="1071"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1" w:firstLine="0"/>
              <w:jc w:val="center"/>
              <w:textAlignment w:val="auto"/>
              <w:rPr>
                <w:rFonts w:hint="eastAsia" w:ascii="宋体" w:hAnsi="宋体" w:eastAsia="宋体" w:cs="宋体"/>
                <w:sz w:val="21"/>
                <w:szCs w:val="21"/>
              </w:rPr>
            </w:pPr>
            <w:r>
              <w:rPr>
                <w:rFonts w:hint="eastAsia" w:ascii="宋体" w:hAnsi="宋体" w:eastAsia="宋体" w:cs="宋体"/>
                <w:sz w:val="21"/>
                <w:szCs w:val="21"/>
              </w:rPr>
              <w:t>1</w:t>
            </w:r>
          </w:p>
        </w:tc>
        <w:tc>
          <w:tcPr>
            <w:tcW w:w="1084"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w:t>
            </w:r>
          </w:p>
        </w:tc>
        <w:tc>
          <w:tcPr>
            <w:tcW w:w="1129"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5</w:t>
            </w:r>
          </w:p>
        </w:tc>
        <w:tc>
          <w:tcPr>
            <w:tcW w:w="1142"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right="5" w:firstLine="0"/>
              <w:jc w:val="center"/>
              <w:textAlignment w:val="auto"/>
              <w:rPr>
                <w:rFonts w:hint="eastAsia" w:ascii="宋体" w:hAnsi="宋体" w:eastAsia="宋体" w:cs="宋体"/>
                <w:sz w:val="21"/>
                <w:szCs w:val="21"/>
              </w:rPr>
            </w:pPr>
            <w:r>
              <w:rPr>
                <w:rFonts w:hint="eastAsia" w:ascii="宋体" w:hAnsi="宋体" w:eastAsia="宋体" w:cs="宋体"/>
                <w:sz w:val="21"/>
                <w:szCs w:val="21"/>
              </w:rPr>
              <w:t>0.5</w:t>
            </w:r>
          </w:p>
        </w:tc>
        <w:tc>
          <w:tcPr>
            <w:tcW w:w="111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0.5</w:t>
            </w:r>
          </w:p>
        </w:tc>
        <w:tc>
          <w:tcPr>
            <w:tcW w:w="1180"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0.5</w:t>
            </w:r>
          </w:p>
        </w:tc>
      </w:tr>
    </w:tbl>
    <w:p>
      <w:pPr>
        <w:pageBreakBefore w:val="0"/>
        <w:kinsoku/>
        <w:wordWrap/>
        <w:overflowPunct/>
        <w:topLinePunct w:val="0"/>
        <w:autoSpaceDE/>
        <w:autoSpaceDN/>
        <w:bidi w:val="0"/>
        <w:spacing w:line="240" w:lineRule="exact"/>
        <w:ind w:left="-5"/>
        <w:textAlignment w:val="auto"/>
        <w:rPr>
          <w:rFonts w:hint="eastAsia" w:ascii="宋体" w:hAnsi="宋体" w:eastAsia="宋体" w:cs="宋体"/>
          <w:sz w:val="21"/>
          <w:szCs w:val="21"/>
        </w:rPr>
      </w:pPr>
      <w:r>
        <w:rPr>
          <w:rFonts w:hint="eastAsia" w:ascii="宋体" w:hAnsi="宋体" w:eastAsia="宋体" w:cs="宋体"/>
          <w:sz w:val="21"/>
          <w:szCs w:val="21"/>
        </w:rPr>
        <w:t>备注：1.以上标准数据来自2020年底各省（区、市）上报的粮食应急保障企业信息，经国家粮食和物资储备局分析得出；</w:t>
      </w:r>
    </w:p>
    <w:p>
      <w:pPr>
        <w:pageBreakBefore w:val="0"/>
        <w:kinsoku/>
        <w:wordWrap/>
        <w:overflowPunct/>
        <w:topLinePunct w:val="0"/>
        <w:autoSpaceDE/>
        <w:autoSpaceDN/>
        <w:bidi w:val="0"/>
        <w:spacing w:line="240" w:lineRule="exact"/>
        <w:ind w:left="-5"/>
        <w:textAlignment w:val="auto"/>
        <w:rPr>
          <w:rFonts w:hint="eastAsia" w:ascii="宋体" w:hAnsi="宋体" w:eastAsia="宋体" w:cs="宋体"/>
          <w:sz w:val="21"/>
          <w:szCs w:val="21"/>
        </w:rPr>
      </w:pPr>
      <w:r>
        <w:rPr>
          <w:rFonts w:hint="eastAsia" w:ascii="宋体" w:hAnsi="宋体" w:eastAsia="宋体" w:cs="宋体"/>
          <w:sz w:val="21"/>
          <w:szCs w:val="21"/>
        </w:rPr>
        <w:t xml:space="preserve">      2.应急保障中心标准，以省市县三级粮食应急保障企业标准为基础，应满足仓储、加工、运输、供应中两个以上功能指标；</w:t>
      </w:r>
    </w:p>
    <w:p>
      <w:pPr>
        <w:pageBreakBefore w:val="0"/>
        <w:kinsoku/>
        <w:wordWrap/>
        <w:overflowPunct/>
        <w:topLinePunct w:val="0"/>
        <w:autoSpaceDE/>
        <w:autoSpaceDN/>
        <w:bidi w:val="0"/>
        <w:spacing w:line="240" w:lineRule="exact"/>
        <w:ind w:left="-5"/>
        <w:textAlignment w:val="auto"/>
      </w:pPr>
      <w:r>
        <w:rPr>
          <w:rFonts w:hint="eastAsia" w:ascii="宋体" w:hAnsi="宋体" w:eastAsia="宋体" w:cs="宋体"/>
          <w:sz w:val="21"/>
          <w:szCs w:val="21"/>
        </w:rPr>
        <w:t xml:space="preserve">      3.此标准为推荐标准，非强制标准。该指标每年进行更新。各地可结合实际，在此标准的基础上制定本地标准。</w:t>
      </w:r>
    </w:p>
    <w:p>
      <w:pPr>
        <w:pageBreakBefore w:val="0"/>
        <w:kinsoku/>
        <w:wordWrap/>
        <w:overflowPunct/>
        <w:topLinePunct w:val="0"/>
        <w:autoSpaceDE/>
        <w:autoSpaceDN/>
        <w:bidi w:val="0"/>
        <w:spacing w:line="560" w:lineRule="exact"/>
        <w:textAlignment w:val="auto"/>
        <w:rPr>
          <w:rFonts w:ascii="黑体" w:hAnsi="黑体" w:eastAsia="黑体" w:cs="黑体"/>
          <w:sz w:val="28"/>
        </w:rPr>
      </w:pPr>
    </w:p>
    <w:p>
      <w:pPr>
        <w:pageBreakBefore w:val="0"/>
        <w:kinsoku/>
        <w:wordWrap/>
        <w:overflowPunct/>
        <w:topLinePunct w:val="0"/>
        <w:autoSpaceDE/>
        <w:autoSpaceDN/>
        <w:bidi w:val="0"/>
        <w:spacing w:line="560" w:lineRule="exact"/>
        <w:textAlignment w:val="auto"/>
      </w:pPr>
      <w:r>
        <w:rPr>
          <w:rFonts w:ascii="黑体" w:hAnsi="黑体" w:eastAsia="黑体" w:cs="黑体"/>
          <w:sz w:val="28"/>
        </w:rPr>
        <w:t>附件1-4</w:t>
      </w:r>
    </w:p>
    <w:p>
      <w:pPr>
        <w:pStyle w:val="4"/>
        <w:pageBreakBefore w:val="0"/>
        <w:kinsoku/>
        <w:wordWrap/>
        <w:overflowPunct/>
        <w:topLinePunct w:val="0"/>
        <w:autoSpaceDE/>
        <w:autoSpaceDN/>
        <w:bidi w:val="0"/>
        <w:spacing w:after="0" w:line="560" w:lineRule="exact"/>
        <w:ind w:right="2"/>
        <w:jc w:val="center"/>
        <w:textAlignment w:val="auto"/>
      </w:pPr>
      <w:r>
        <w:t>国家级粮食应急保障企业标准</w:t>
      </w:r>
    </w:p>
    <w:p>
      <w:pPr>
        <w:pageBreakBefore w:val="0"/>
        <w:kinsoku/>
        <w:wordWrap/>
        <w:overflowPunct/>
        <w:topLinePunct w:val="0"/>
        <w:autoSpaceDE/>
        <w:autoSpaceDN/>
        <w:bidi w:val="0"/>
        <w:spacing w:line="240" w:lineRule="exact"/>
        <w:ind w:left="10" w:right="897"/>
        <w:jc w:val="right"/>
        <w:textAlignment w:val="auto"/>
      </w:pPr>
      <w:r>
        <w:rPr>
          <w:sz w:val="24"/>
        </w:rPr>
        <w:t>单位：吨</w:t>
      </w:r>
    </w:p>
    <w:p>
      <w:pPr>
        <w:pageBreakBefore w:val="0"/>
        <w:kinsoku/>
        <w:wordWrap/>
        <w:overflowPunct/>
        <w:topLinePunct w:val="0"/>
        <w:autoSpaceDE/>
        <w:autoSpaceDN/>
        <w:bidi w:val="0"/>
        <w:spacing w:line="240" w:lineRule="exact"/>
        <w:ind w:left="1004"/>
        <w:textAlignment w:val="auto"/>
        <w:rPr>
          <w:rFonts w:hint="eastAsia" w:ascii="宋体" w:hAnsi="宋体" w:eastAsia="宋体" w:cs="宋体"/>
          <w:sz w:val="21"/>
          <w:szCs w:val="21"/>
        </w:rPr>
      </w:pPr>
    </w:p>
    <w:tbl>
      <w:tblPr>
        <w:tblStyle w:val="17"/>
        <w:tblpPr w:leftFromText="180" w:rightFromText="180" w:vertAnchor="text" w:horzAnchor="page" w:tblpX="2107" w:tblpY="107"/>
        <w:tblOverlap w:val="never"/>
        <w:tblW w:w="12736" w:type="dxa"/>
        <w:tblInd w:w="0" w:type="dxa"/>
        <w:tblLayout w:type="autofit"/>
        <w:tblCellMar>
          <w:top w:w="102" w:type="dxa"/>
          <w:left w:w="110" w:type="dxa"/>
          <w:bottom w:w="0" w:type="dxa"/>
          <w:right w:w="96" w:type="dxa"/>
        </w:tblCellMar>
      </w:tblPr>
      <w:tblGrid>
        <w:gridCol w:w="1214"/>
        <w:gridCol w:w="1220"/>
        <w:gridCol w:w="1141"/>
        <w:gridCol w:w="1137"/>
        <w:gridCol w:w="1137"/>
        <w:gridCol w:w="1139"/>
        <w:gridCol w:w="1137"/>
        <w:gridCol w:w="1137"/>
        <w:gridCol w:w="1137"/>
        <w:gridCol w:w="1137"/>
        <w:gridCol w:w="1200"/>
      </w:tblGrid>
      <w:tr>
        <w:tblPrEx>
          <w:tblCellMar>
            <w:top w:w="102" w:type="dxa"/>
            <w:left w:w="110" w:type="dxa"/>
            <w:bottom w:w="0" w:type="dxa"/>
            <w:right w:w="96" w:type="dxa"/>
          </w:tblCellMar>
        </w:tblPrEx>
        <w:trPr>
          <w:trHeight w:val="676" w:hRule="atLeast"/>
        </w:trPr>
        <w:tc>
          <w:tcPr>
            <w:tcW w:w="1214" w:type="dxa"/>
            <w:vMerge w:val="restart"/>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207" w:firstLine="0"/>
              <w:textAlignment w:val="auto"/>
              <w:rPr>
                <w:rFonts w:hint="eastAsia" w:ascii="宋体" w:hAnsi="宋体" w:eastAsia="宋体" w:cs="宋体"/>
                <w:sz w:val="21"/>
                <w:szCs w:val="21"/>
              </w:rPr>
            </w:pPr>
            <w:r>
              <w:rPr>
                <w:rFonts w:hint="eastAsia" w:ascii="宋体" w:hAnsi="宋体" w:eastAsia="宋体" w:cs="宋体"/>
                <w:sz w:val="21"/>
                <w:szCs w:val="21"/>
              </w:rPr>
              <w:t>区域</w:t>
            </w:r>
          </w:p>
        </w:tc>
        <w:tc>
          <w:tcPr>
            <w:tcW w:w="2361" w:type="dxa"/>
            <w:gridSpan w:val="2"/>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5" w:firstLine="0"/>
              <w:jc w:val="center"/>
              <w:textAlignment w:val="auto"/>
              <w:rPr>
                <w:rFonts w:hint="eastAsia" w:ascii="宋体" w:hAnsi="宋体" w:eastAsia="宋体" w:cs="宋体"/>
                <w:sz w:val="21"/>
                <w:szCs w:val="21"/>
              </w:rPr>
            </w:pPr>
            <w:r>
              <w:rPr>
                <w:rFonts w:hint="eastAsia" w:ascii="宋体" w:hAnsi="宋体" w:eastAsia="宋体" w:cs="宋体"/>
                <w:sz w:val="21"/>
                <w:szCs w:val="21"/>
              </w:rPr>
              <w:t>仓储能力</w:t>
            </w:r>
          </w:p>
        </w:tc>
        <w:tc>
          <w:tcPr>
            <w:tcW w:w="3413" w:type="dxa"/>
            <w:gridSpan w:val="3"/>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5" w:firstLine="0"/>
              <w:jc w:val="center"/>
              <w:textAlignment w:val="auto"/>
              <w:rPr>
                <w:rFonts w:hint="eastAsia" w:ascii="宋体" w:hAnsi="宋体" w:eastAsia="宋体" w:cs="宋体"/>
                <w:sz w:val="21"/>
                <w:szCs w:val="21"/>
              </w:rPr>
            </w:pPr>
            <w:r>
              <w:rPr>
                <w:rFonts w:hint="eastAsia" w:ascii="宋体" w:hAnsi="宋体" w:eastAsia="宋体" w:cs="宋体"/>
                <w:sz w:val="21"/>
                <w:szCs w:val="21"/>
              </w:rPr>
              <w:t>加工能力</w:t>
            </w:r>
          </w:p>
        </w:tc>
        <w:tc>
          <w:tcPr>
            <w:tcW w:w="2274" w:type="dxa"/>
            <w:gridSpan w:val="2"/>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5" w:firstLine="0"/>
              <w:jc w:val="center"/>
              <w:textAlignment w:val="auto"/>
              <w:rPr>
                <w:rFonts w:hint="eastAsia" w:ascii="宋体" w:hAnsi="宋体" w:eastAsia="宋体" w:cs="宋体"/>
                <w:sz w:val="21"/>
                <w:szCs w:val="21"/>
              </w:rPr>
            </w:pPr>
            <w:r>
              <w:rPr>
                <w:rFonts w:hint="eastAsia" w:ascii="宋体" w:hAnsi="宋体" w:eastAsia="宋体" w:cs="宋体"/>
                <w:sz w:val="21"/>
                <w:szCs w:val="21"/>
              </w:rPr>
              <w:t>运输能力</w:t>
            </w:r>
          </w:p>
        </w:tc>
        <w:tc>
          <w:tcPr>
            <w:tcW w:w="3474" w:type="dxa"/>
            <w:gridSpan w:val="3"/>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5" w:firstLine="0"/>
              <w:jc w:val="center"/>
              <w:textAlignment w:val="auto"/>
              <w:rPr>
                <w:rFonts w:hint="eastAsia" w:ascii="宋体" w:hAnsi="宋体" w:eastAsia="宋体" w:cs="宋体"/>
                <w:sz w:val="21"/>
                <w:szCs w:val="21"/>
              </w:rPr>
            </w:pPr>
            <w:r>
              <w:rPr>
                <w:rFonts w:hint="eastAsia" w:ascii="宋体" w:hAnsi="宋体" w:eastAsia="宋体" w:cs="宋体"/>
                <w:sz w:val="21"/>
                <w:szCs w:val="21"/>
              </w:rPr>
              <w:t>供应能力</w:t>
            </w:r>
          </w:p>
        </w:tc>
      </w:tr>
      <w:tr>
        <w:tblPrEx>
          <w:tblCellMar>
            <w:top w:w="102" w:type="dxa"/>
            <w:left w:w="110" w:type="dxa"/>
            <w:bottom w:w="0" w:type="dxa"/>
            <w:right w:w="96" w:type="dxa"/>
          </w:tblCellMar>
        </w:tblPrEx>
        <w:trPr>
          <w:trHeight w:val="1081" w:hRule="atLeast"/>
        </w:trPr>
        <w:tc>
          <w:tcPr>
            <w:tcW w:w="1214" w:type="dxa"/>
            <w:vMerge w:val="continue"/>
            <w:tcBorders>
              <w:top w:val="nil"/>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textAlignment w:val="auto"/>
              <w:rPr>
                <w:rFonts w:hint="eastAsia" w:ascii="宋体" w:hAnsi="宋体" w:eastAsia="宋体" w:cs="宋体"/>
                <w:sz w:val="21"/>
                <w:szCs w:val="21"/>
              </w:rPr>
            </w:pPr>
          </w:p>
        </w:tc>
        <w:tc>
          <w:tcPr>
            <w:tcW w:w="1220"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5" w:firstLine="0"/>
              <w:jc w:val="both"/>
              <w:textAlignment w:val="auto"/>
              <w:rPr>
                <w:rFonts w:hint="eastAsia" w:ascii="宋体" w:hAnsi="宋体" w:eastAsia="宋体" w:cs="宋体"/>
                <w:sz w:val="21"/>
                <w:szCs w:val="21"/>
              </w:rPr>
            </w:pPr>
            <w:r>
              <w:rPr>
                <w:rFonts w:hint="eastAsia" w:ascii="宋体" w:hAnsi="宋体" w:eastAsia="宋体" w:cs="宋体"/>
                <w:sz w:val="21"/>
                <w:szCs w:val="21"/>
              </w:rPr>
              <w:t>库房仓容</w:t>
            </w:r>
          </w:p>
        </w:tc>
        <w:tc>
          <w:tcPr>
            <w:tcW w:w="1141"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both"/>
              <w:textAlignment w:val="auto"/>
              <w:rPr>
                <w:rFonts w:hint="eastAsia" w:ascii="宋体" w:hAnsi="宋体" w:eastAsia="宋体" w:cs="宋体"/>
                <w:sz w:val="21"/>
                <w:szCs w:val="21"/>
              </w:rPr>
            </w:pPr>
            <w:r>
              <w:rPr>
                <w:rFonts w:hint="eastAsia" w:ascii="宋体" w:hAnsi="宋体" w:eastAsia="宋体" w:cs="宋体"/>
                <w:sz w:val="21"/>
                <w:szCs w:val="21"/>
              </w:rPr>
              <w:t>油罐罐容</w:t>
            </w:r>
          </w:p>
        </w:tc>
        <w:tc>
          <w:tcPr>
            <w:tcW w:w="1137"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小麦日加工能力</w:t>
            </w:r>
          </w:p>
        </w:tc>
        <w:tc>
          <w:tcPr>
            <w:tcW w:w="1137"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稻谷日加工能力</w:t>
            </w:r>
          </w:p>
        </w:tc>
        <w:tc>
          <w:tcPr>
            <w:tcW w:w="1139"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油脂分装日加工能力</w:t>
            </w:r>
          </w:p>
        </w:tc>
        <w:tc>
          <w:tcPr>
            <w:tcW w:w="1137"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日运输能力</w:t>
            </w:r>
          </w:p>
        </w:tc>
        <w:tc>
          <w:tcPr>
            <w:tcW w:w="1137" w:type="dxa"/>
            <w:tcBorders>
              <w:top w:val="single" w:color="000000" w:sz="8" w:space="0"/>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自有车辆日运输能力</w:t>
            </w:r>
          </w:p>
        </w:tc>
        <w:tc>
          <w:tcPr>
            <w:tcW w:w="1137"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小麦粉日供应能力</w:t>
            </w:r>
          </w:p>
        </w:tc>
        <w:tc>
          <w:tcPr>
            <w:tcW w:w="1137"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大米日供应能力</w:t>
            </w:r>
          </w:p>
        </w:tc>
        <w:tc>
          <w:tcPr>
            <w:tcW w:w="1200"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食用油日供应能力</w:t>
            </w:r>
          </w:p>
        </w:tc>
      </w:tr>
      <w:tr>
        <w:tblPrEx>
          <w:tblCellMar>
            <w:top w:w="102" w:type="dxa"/>
            <w:left w:w="110" w:type="dxa"/>
            <w:bottom w:w="0" w:type="dxa"/>
            <w:right w:w="96" w:type="dxa"/>
          </w:tblCellMar>
        </w:tblPrEx>
        <w:trPr>
          <w:trHeight w:val="793" w:hRule="atLeast"/>
        </w:trPr>
        <w:tc>
          <w:tcPr>
            <w:tcW w:w="1214"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68" w:firstLine="0"/>
              <w:jc w:val="both"/>
              <w:textAlignment w:val="auto"/>
              <w:rPr>
                <w:rFonts w:hint="eastAsia" w:ascii="宋体" w:hAnsi="宋体" w:eastAsia="宋体" w:cs="宋体"/>
                <w:sz w:val="21"/>
                <w:szCs w:val="21"/>
              </w:rPr>
            </w:pPr>
            <w:r>
              <w:rPr>
                <w:rFonts w:hint="eastAsia" w:ascii="宋体" w:hAnsi="宋体" w:eastAsia="宋体" w:cs="宋体"/>
                <w:sz w:val="21"/>
                <w:szCs w:val="21"/>
              </w:rPr>
              <w:t>主产区</w:t>
            </w:r>
          </w:p>
        </w:tc>
        <w:tc>
          <w:tcPr>
            <w:tcW w:w="1220"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125" w:firstLine="0"/>
              <w:textAlignment w:val="auto"/>
              <w:rPr>
                <w:rFonts w:hint="eastAsia" w:ascii="宋体" w:hAnsi="宋体" w:eastAsia="宋体" w:cs="宋体"/>
                <w:sz w:val="21"/>
                <w:szCs w:val="21"/>
              </w:rPr>
            </w:pPr>
            <w:r>
              <w:rPr>
                <w:rFonts w:hint="eastAsia" w:ascii="宋体" w:hAnsi="宋体" w:eastAsia="宋体" w:cs="宋体"/>
                <w:sz w:val="21"/>
                <w:szCs w:val="21"/>
              </w:rPr>
              <w:t>130000</w:t>
            </w:r>
          </w:p>
        </w:tc>
        <w:tc>
          <w:tcPr>
            <w:tcW w:w="1141"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30000</w:t>
            </w:r>
          </w:p>
        </w:tc>
        <w:tc>
          <w:tcPr>
            <w:tcW w:w="1137"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800</w:t>
            </w:r>
          </w:p>
        </w:tc>
        <w:tc>
          <w:tcPr>
            <w:tcW w:w="1137"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1" w:firstLine="0"/>
              <w:jc w:val="center"/>
              <w:textAlignment w:val="auto"/>
              <w:rPr>
                <w:rFonts w:hint="eastAsia" w:ascii="宋体" w:hAnsi="宋体" w:eastAsia="宋体" w:cs="宋体"/>
                <w:sz w:val="21"/>
                <w:szCs w:val="21"/>
              </w:rPr>
            </w:pPr>
            <w:r>
              <w:rPr>
                <w:rFonts w:hint="eastAsia" w:ascii="宋体" w:hAnsi="宋体" w:eastAsia="宋体" w:cs="宋体"/>
                <w:sz w:val="21"/>
                <w:szCs w:val="21"/>
              </w:rPr>
              <w:t>500</w:t>
            </w:r>
          </w:p>
        </w:tc>
        <w:tc>
          <w:tcPr>
            <w:tcW w:w="1139"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1" w:firstLine="0"/>
              <w:jc w:val="center"/>
              <w:textAlignment w:val="auto"/>
              <w:rPr>
                <w:rFonts w:hint="eastAsia" w:ascii="宋体" w:hAnsi="宋体" w:eastAsia="宋体" w:cs="宋体"/>
                <w:sz w:val="21"/>
                <w:szCs w:val="21"/>
              </w:rPr>
            </w:pPr>
            <w:r>
              <w:rPr>
                <w:rFonts w:hint="eastAsia" w:ascii="宋体" w:hAnsi="宋体" w:eastAsia="宋体" w:cs="宋体"/>
                <w:sz w:val="21"/>
                <w:szCs w:val="21"/>
              </w:rPr>
              <w:t>400</w:t>
            </w:r>
          </w:p>
        </w:tc>
        <w:tc>
          <w:tcPr>
            <w:tcW w:w="1137"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800</w:t>
            </w:r>
          </w:p>
        </w:tc>
        <w:tc>
          <w:tcPr>
            <w:tcW w:w="1137"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250</w:t>
            </w:r>
          </w:p>
        </w:tc>
        <w:tc>
          <w:tcPr>
            <w:tcW w:w="1137"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200</w:t>
            </w:r>
          </w:p>
        </w:tc>
        <w:tc>
          <w:tcPr>
            <w:tcW w:w="1137"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1" w:firstLine="0"/>
              <w:jc w:val="center"/>
              <w:textAlignment w:val="auto"/>
              <w:rPr>
                <w:rFonts w:hint="eastAsia" w:ascii="宋体" w:hAnsi="宋体" w:eastAsia="宋体" w:cs="宋体"/>
                <w:sz w:val="21"/>
                <w:szCs w:val="21"/>
              </w:rPr>
            </w:pPr>
            <w:r>
              <w:rPr>
                <w:rFonts w:hint="eastAsia" w:ascii="宋体" w:hAnsi="宋体" w:eastAsia="宋体" w:cs="宋体"/>
                <w:sz w:val="21"/>
                <w:szCs w:val="21"/>
              </w:rPr>
              <w:t>150</w:t>
            </w:r>
          </w:p>
        </w:tc>
        <w:tc>
          <w:tcPr>
            <w:tcW w:w="1200"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1"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100</w:t>
            </w:r>
          </w:p>
        </w:tc>
      </w:tr>
      <w:tr>
        <w:tblPrEx>
          <w:tblCellMar>
            <w:top w:w="102" w:type="dxa"/>
            <w:left w:w="110" w:type="dxa"/>
            <w:bottom w:w="0" w:type="dxa"/>
            <w:right w:w="96" w:type="dxa"/>
          </w:tblCellMar>
        </w:tblPrEx>
        <w:trPr>
          <w:trHeight w:val="811" w:hRule="atLeast"/>
        </w:trPr>
        <w:tc>
          <w:tcPr>
            <w:tcW w:w="1214"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68" w:firstLine="0"/>
              <w:jc w:val="both"/>
              <w:textAlignment w:val="auto"/>
              <w:rPr>
                <w:rFonts w:hint="eastAsia" w:ascii="宋体" w:hAnsi="宋体" w:eastAsia="宋体" w:cs="宋体"/>
                <w:sz w:val="21"/>
                <w:szCs w:val="21"/>
              </w:rPr>
            </w:pPr>
            <w:r>
              <w:rPr>
                <w:rFonts w:hint="eastAsia" w:ascii="宋体" w:hAnsi="宋体" w:eastAsia="宋体" w:cs="宋体"/>
                <w:sz w:val="21"/>
                <w:szCs w:val="21"/>
              </w:rPr>
              <w:t>平衡区</w:t>
            </w:r>
          </w:p>
        </w:tc>
        <w:tc>
          <w:tcPr>
            <w:tcW w:w="1220"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125" w:firstLine="0"/>
              <w:textAlignment w:val="auto"/>
              <w:rPr>
                <w:rFonts w:hint="eastAsia" w:ascii="宋体" w:hAnsi="宋体" w:eastAsia="宋体" w:cs="宋体"/>
                <w:sz w:val="21"/>
                <w:szCs w:val="21"/>
              </w:rPr>
            </w:pPr>
            <w:r>
              <w:rPr>
                <w:rFonts w:hint="eastAsia" w:ascii="宋体" w:hAnsi="宋体" w:eastAsia="宋体" w:cs="宋体"/>
                <w:sz w:val="21"/>
                <w:szCs w:val="21"/>
              </w:rPr>
              <w:t>120000</w:t>
            </w:r>
          </w:p>
        </w:tc>
        <w:tc>
          <w:tcPr>
            <w:tcW w:w="1141"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28000</w:t>
            </w:r>
          </w:p>
        </w:tc>
        <w:tc>
          <w:tcPr>
            <w:tcW w:w="1137"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500</w:t>
            </w:r>
          </w:p>
        </w:tc>
        <w:tc>
          <w:tcPr>
            <w:tcW w:w="1137"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1" w:firstLine="0"/>
              <w:jc w:val="center"/>
              <w:textAlignment w:val="auto"/>
              <w:rPr>
                <w:rFonts w:hint="eastAsia" w:ascii="宋体" w:hAnsi="宋体" w:eastAsia="宋体" w:cs="宋体"/>
                <w:sz w:val="21"/>
                <w:szCs w:val="21"/>
              </w:rPr>
            </w:pPr>
            <w:r>
              <w:rPr>
                <w:rFonts w:hint="eastAsia" w:ascii="宋体" w:hAnsi="宋体" w:eastAsia="宋体" w:cs="宋体"/>
                <w:sz w:val="21"/>
                <w:szCs w:val="21"/>
              </w:rPr>
              <w:t>400</w:t>
            </w:r>
          </w:p>
        </w:tc>
        <w:tc>
          <w:tcPr>
            <w:tcW w:w="1139"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1" w:firstLine="0"/>
              <w:jc w:val="center"/>
              <w:textAlignment w:val="auto"/>
              <w:rPr>
                <w:rFonts w:hint="eastAsia" w:ascii="宋体" w:hAnsi="宋体" w:eastAsia="宋体" w:cs="宋体"/>
                <w:sz w:val="21"/>
                <w:szCs w:val="21"/>
              </w:rPr>
            </w:pPr>
            <w:r>
              <w:rPr>
                <w:rFonts w:hint="eastAsia" w:ascii="宋体" w:hAnsi="宋体" w:eastAsia="宋体" w:cs="宋体"/>
                <w:sz w:val="21"/>
                <w:szCs w:val="21"/>
              </w:rPr>
              <w:t>300</w:t>
            </w:r>
          </w:p>
        </w:tc>
        <w:tc>
          <w:tcPr>
            <w:tcW w:w="1137"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600</w:t>
            </w:r>
          </w:p>
        </w:tc>
        <w:tc>
          <w:tcPr>
            <w:tcW w:w="1137"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200</w:t>
            </w:r>
          </w:p>
        </w:tc>
        <w:tc>
          <w:tcPr>
            <w:tcW w:w="1137"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150</w:t>
            </w:r>
          </w:p>
        </w:tc>
        <w:tc>
          <w:tcPr>
            <w:tcW w:w="1137"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1"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100</w:t>
            </w:r>
          </w:p>
        </w:tc>
        <w:tc>
          <w:tcPr>
            <w:tcW w:w="1200"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5" w:firstLine="0"/>
              <w:jc w:val="center"/>
              <w:textAlignment w:val="auto"/>
              <w:rPr>
                <w:rFonts w:hint="eastAsia" w:ascii="宋体" w:hAnsi="宋体" w:eastAsia="宋体" w:cs="宋体"/>
                <w:sz w:val="21"/>
                <w:szCs w:val="21"/>
              </w:rPr>
            </w:pPr>
            <w:r>
              <w:rPr>
                <w:rFonts w:hint="eastAsia" w:ascii="宋体" w:hAnsi="宋体" w:eastAsia="宋体" w:cs="宋体"/>
                <w:sz w:val="21"/>
                <w:szCs w:val="21"/>
              </w:rPr>
              <w:t>50</w:t>
            </w:r>
          </w:p>
        </w:tc>
      </w:tr>
      <w:tr>
        <w:tblPrEx>
          <w:tblCellMar>
            <w:top w:w="102" w:type="dxa"/>
            <w:left w:w="110" w:type="dxa"/>
            <w:bottom w:w="0" w:type="dxa"/>
            <w:right w:w="96" w:type="dxa"/>
          </w:tblCellMar>
        </w:tblPrEx>
        <w:trPr>
          <w:trHeight w:val="849" w:hRule="atLeast"/>
        </w:trPr>
        <w:tc>
          <w:tcPr>
            <w:tcW w:w="1214"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68" w:firstLine="0"/>
              <w:jc w:val="both"/>
              <w:textAlignment w:val="auto"/>
              <w:rPr>
                <w:rFonts w:hint="eastAsia" w:ascii="宋体" w:hAnsi="宋体" w:eastAsia="宋体" w:cs="宋体"/>
                <w:sz w:val="21"/>
                <w:szCs w:val="21"/>
              </w:rPr>
            </w:pPr>
            <w:r>
              <w:rPr>
                <w:rFonts w:hint="eastAsia" w:ascii="宋体" w:hAnsi="宋体" w:eastAsia="宋体" w:cs="宋体"/>
                <w:sz w:val="21"/>
                <w:szCs w:val="21"/>
              </w:rPr>
              <w:t>主销区</w:t>
            </w:r>
          </w:p>
        </w:tc>
        <w:tc>
          <w:tcPr>
            <w:tcW w:w="1220"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125" w:firstLine="0"/>
              <w:textAlignment w:val="auto"/>
              <w:rPr>
                <w:rFonts w:hint="eastAsia" w:ascii="宋体" w:hAnsi="宋体" w:eastAsia="宋体" w:cs="宋体"/>
                <w:sz w:val="21"/>
                <w:szCs w:val="21"/>
              </w:rPr>
            </w:pPr>
            <w:r>
              <w:rPr>
                <w:rFonts w:hint="eastAsia" w:ascii="宋体" w:hAnsi="宋体" w:eastAsia="宋体" w:cs="宋体"/>
                <w:sz w:val="21"/>
                <w:szCs w:val="21"/>
              </w:rPr>
              <w:t>120000</w:t>
            </w:r>
          </w:p>
        </w:tc>
        <w:tc>
          <w:tcPr>
            <w:tcW w:w="1141"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30000</w:t>
            </w:r>
          </w:p>
        </w:tc>
        <w:tc>
          <w:tcPr>
            <w:tcW w:w="1137"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450</w:t>
            </w:r>
          </w:p>
        </w:tc>
        <w:tc>
          <w:tcPr>
            <w:tcW w:w="1137"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1" w:firstLine="0"/>
              <w:jc w:val="center"/>
              <w:textAlignment w:val="auto"/>
              <w:rPr>
                <w:rFonts w:hint="eastAsia" w:ascii="宋体" w:hAnsi="宋体" w:eastAsia="宋体" w:cs="宋体"/>
                <w:sz w:val="21"/>
                <w:szCs w:val="21"/>
              </w:rPr>
            </w:pPr>
            <w:r>
              <w:rPr>
                <w:rFonts w:hint="eastAsia" w:ascii="宋体" w:hAnsi="宋体" w:eastAsia="宋体" w:cs="宋体"/>
                <w:sz w:val="21"/>
                <w:szCs w:val="21"/>
              </w:rPr>
              <w:t>350</w:t>
            </w:r>
          </w:p>
        </w:tc>
        <w:tc>
          <w:tcPr>
            <w:tcW w:w="1139"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1" w:firstLine="0"/>
              <w:jc w:val="center"/>
              <w:textAlignment w:val="auto"/>
              <w:rPr>
                <w:rFonts w:hint="eastAsia" w:ascii="宋体" w:hAnsi="宋体" w:eastAsia="宋体" w:cs="宋体"/>
                <w:sz w:val="21"/>
                <w:szCs w:val="21"/>
              </w:rPr>
            </w:pPr>
            <w:r>
              <w:rPr>
                <w:rFonts w:hint="eastAsia" w:ascii="宋体" w:hAnsi="宋体" w:eastAsia="宋体" w:cs="宋体"/>
                <w:sz w:val="21"/>
                <w:szCs w:val="21"/>
              </w:rPr>
              <w:t>500</w:t>
            </w:r>
          </w:p>
        </w:tc>
        <w:tc>
          <w:tcPr>
            <w:tcW w:w="1137"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900</w:t>
            </w:r>
          </w:p>
        </w:tc>
        <w:tc>
          <w:tcPr>
            <w:tcW w:w="1137"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300</w:t>
            </w:r>
          </w:p>
        </w:tc>
        <w:tc>
          <w:tcPr>
            <w:tcW w:w="1137"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500</w:t>
            </w:r>
          </w:p>
        </w:tc>
        <w:tc>
          <w:tcPr>
            <w:tcW w:w="1137"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1" w:firstLine="0"/>
              <w:jc w:val="center"/>
              <w:textAlignment w:val="auto"/>
              <w:rPr>
                <w:rFonts w:hint="eastAsia" w:ascii="宋体" w:hAnsi="宋体" w:eastAsia="宋体" w:cs="宋体"/>
                <w:sz w:val="21"/>
                <w:szCs w:val="21"/>
              </w:rPr>
            </w:pPr>
            <w:r>
              <w:rPr>
                <w:rFonts w:hint="eastAsia" w:ascii="宋体" w:hAnsi="宋体" w:eastAsia="宋体" w:cs="宋体"/>
                <w:sz w:val="21"/>
                <w:szCs w:val="21"/>
              </w:rPr>
              <w:t>300</w:t>
            </w:r>
          </w:p>
        </w:tc>
        <w:tc>
          <w:tcPr>
            <w:tcW w:w="1200"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1"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100</w:t>
            </w:r>
          </w:p>
        </w:tc>
      </w:tr>
    </w:tbl>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p>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r>
        <w:rPr>
          <w:rFonts w:hint="eastAsia" w:ascii="宋体" w:hAnsi="宋体" w:eastAsia="宋体" w:cs="宋体"/>
          <w:sz w:val="21"/>
          <w:szCs w:val="21"/>
        </w:rPr>
        <w:t>备注：1.以上标准数据来自2020年底申报国家级粮食应急保障企业有关数据，经国家粮食和物资储备局分析得出；</w:t>
      </w:r>
    </w:p>
    <w:p>
      <w:pPr>
        <w:pageBreakBefore w:val="0"/>
        <w:kinsoku/>
        <w:wordWrap/>
        <w:overflowPunct/>
        <w:topLinePunct w:val="0"/>
        <w:autoSpaceDE/>
        <w:autoSpaceDN/>
        <w:bidi w:val="0"/>
        <w:spacing w:line="240" w:lineRule="exact"/>
        <w:ind w:firstLine="630" w:firstLineChars="300"/>
        <w:textAlignment w:val="auto"/>
      </w:pPr>
      <w:r>
        <w:rPr>
          <w:rFonts w:hint="eastAsia" w:ascii="宋体" w:hAnsi="宋体" w:eastAsia="宋体" w:cs="宋体"/>
          <w:sz w:val="21"/>
          <w:szCs w:val="21"/>
        </w:rPr>
        <w:t>2.企业只要能够满足储运、加工、运输、供应各项能力细分指标之一的，即达到相应企业标准。</w:t>
      </w:r>
    </w:p>
    <w:p>
      <w:pPr>
        <w:pageBreakBefore w:val="0"/>
        <w:kinsoku/>
        <w:wordWrap/>
        <w:overflowPunct/>
        <w:topLinePunct w:val="0"/>
        <w:autoSpaceDE/>
        <w:autoSpaceDN/>
        <w:bidi w:val="0"/>
        <w:spacing w:line="240" w:lineRule="exact"/>
        <w:ind w:left="131"/>
        <w:textAlignment w:val="auto"/>
        <w:rPr>
          <w:rFonts w:ascii="黑体" w:hAnsi="黑体" w:eastAsia="黑体" w:cs="黑体"/>
          <w:sz w:val="28"/>
        </w:rPr>
      </w:pPr>
    </w:p>
    <w:p>
      <w:pPr>
        <w:pageBreakBefore w:val="0"/>
        <w:kinsoku/>
        <w:wordWrap/>
        <w:overflowPunct/>
        <w:topLinePunct w:val="0"/>
        <w:autoSpaceDE/>
        <w:autoSpaceDN/>
        <w:bidi w:val="0"/>
        <w:spacing w:line="240" w:lineRule="exact"/>
        <w:ind w:left="131"/>
        <w:textAlignment w:val="auto"/>
        <w:rPr>
          <w:rFonts w:ascii="黑体" w:hAnsi="黑体" w:eastAsia="黑体" w:cs="黑体"/>
          <w:sz w:val="28"/>
        </w:rPr>
      </w:pPr>
    </w:p>
    <w:p>
      <w:pPr>
        <w:pageBreakBefore w:val="0"/>
        <w:kinsoku/>
        <w:wordWrap/>
        <w:overflowPunct/>
        <w:topLinePunct w:val="0"/>
        <w:autoSpaceDE/>
        <w:autoSpaceDN/>
        <w:bidi w:val="0"/>
        <w:spacing w:line="240" w:lineRule="exact"/>
        <w:ind w:left="131"/>
        <w:textAlignment w:val="auto"/>
        <w:rPr>
          <w:rFonts w:ascii="黑体" w:hAnsi="黑体" w:eastAsia="黑体" w:cs="黑体"/>
          <w:sz w:val="28"/>
        </w:rPr>
      </w:pPr>
    </w:p>
    <w:p>
      <w:pPr>
        <w:pageBreakBefore w:val="0"/>
        <w:kinsoku/>
        <w:wordWrap/>
        <w:overflowPunct/>
        <w:topLinePunct w:val="0"/>
        <w:autoSpaceDE/>
        <w:autoSpaceDN/>
        <w:bidi w:val="0"/>
        <w:spacing w:line="240" w:lineRule="exact"/>
        <w:ind w:left="131"/>
        <w:textAlignment w:val="auto"/>
        <w:rPr>
          <w:rFonts w:ascii="黑体" w:hAnsi="黑体" w:eastAsia="黑体" w:cs="黑体"/>
          <w:sz w:val="28"/>
        </w:rPr>
      </w:pPr>
    </w:p>
    <w:p>
      <w:pPr>
        <w:pStyle w:val="11"/>
      </w:pPr>
    </w:p>
    <w:p>
      <w:pPr>
        <w:pageBreakBefore w:val="0"/>
        <w:kinsoku/>
        <w:wordWrap/>
        <w:overflowPunct/>
        <w:topLinePunct w:val="0"/>
        <w:autoSpaceDE/>
        <w:autoSpaceDN/>
        <w:bidi w:val="0"/>
        <w:spacing w:line="560" w:lineRule="exact"/>
        <w:ind w:left="131"/>
        <w:textAlignment w:val="auto"/>
        <w:rPr>
          <w:rFonts w:ascii="黑体" w:hAnsi="黑体" w:eastAsia="黑体" w:cs="黑体"/>
          <w:sz w:val="28"/>
        </w:rPr>
      </w:pPr>
    </w:p>
    <w:p>
      <w:pPr>
        <w:pageBreakBefore w:val="0"/>
        <w:kinsoku/>
        <w:wordWrap/>
        <w:overflowPunct/>
        <w:topLinePunct w:val="0"/>
        <w:autoSpaceDE/>
        <w:autoSpaceDN/>
        <w:bidi w:val="0"/>
        <w:spacing w:line="560" w:lineRule="exact"/>
        <w:ind w:left="131"/>
        <w:textAlignment w:val="auto"/>
        <w:rPr>
          <w:rFonts w:ascii="黑体" w:hAnsi="黑体" w:eastAsia="黑体" w:cs="黑体"/>
          <w:sz w:val="28"/>
        </w:rPr>
      </w:pPr>
    </w:p>
    <w:p>
      <w:pPr>
        <w:pageBreakBefore w:val="0"/>
        <w:kinsoku/>
        <w:wordWrap/>
        <w:overflowPunct/>
        <w:topLinePunct w:val="0"/>
        <w:autoSpaceDE/>
        <w:autoSpaceDN/>
        <w:bidi w:val="0"/>
        <w:spacing w:line="560" w:lineRule="exact"/>
        <w:ind w:left="131"/>
        <w:textAlignment w:val="auto"/>
      </w:pPr>
      <w:r>
        <w:rPr>
          <w:rFonts w:ascii="黑体" w:hAnsi="黑体" w:eastAsia="黑体" w:cs="黑体"/>
          <w:sz w:val="28"/>
        </w:rPr>
        <w:t>附件1-5</w:t>
      </w:r>
    </w:p>
    <w:p>
      <w:pPr>
        <w:pStyle w:val="4"/>
        <w:pageBreakBefore w:val="0"/>
        <w:kinsoku/>
        <w:wordWrap/>
        <w:overflowPunct/>
        <w:topLinePunct w:val="0"/>
        <w:autoSpaceDE/>
        <w:autoSpaceDN/>
        <w:bidi w:val="0"/>
        <w:spacing w:after="0" w:line="560" w:lineRule="exact"/>
        <w:ind w:left="188" w:right="538"/>
        <w:textAlignment w:val="auto"/>
      </w:pPr>
      <w:r>
        <w:t>国家级应急保障中心标准</w:t>
      </w:r>
    </w:p>
    <w:p>
      <w:pPr>
        <w:pageBreakBefore w:val="0"/>
        <w:kinsoku/>
        <w:wordWrap/>
        <w:overflowPunct/>
        <w:topLinePunct w:val="0"/>
        <w:autoSpaceDE/>
        <w:autoSpaceDN/>
        <w:bidi w:val="0"/>
        <w:spacing w:line="240" w:lineRule="exact"/>
        <w:ind w:left="10" w:right="647"/>
        <w:jc w:val="right"/>
        <w:textAlignment w:val="auto"/>
      </w:pPr>
      <w:r>
        <w:rPr>
          <w:sz w:val="24"/>
        </w:rPr>
        <w:t>单位：吨</w:t>
      </w:r>
    </w:p>
    <w:tbl>
      <w:tblPr>
        <w:tblStyle w:val="17"/>
        <w:tblW w:w="12718" w:type="dxa"/>
        <w:tblInd w:w="68" w:type="dxa"/>
        <w:tblLayout w:type="autofit"/>
        <w:tblCellMar>
          <w:top w:w="121" w:type="dxa"/>
          <w:left w:w="57" w:type="dxa"/>
          <w:bottom w:w="0" w:type="dxa"/>
          <w:right w:w="39" w:type="dxa"/>
        </w:tblCellMar>
      </w:tblPr>
      <w:tblGrid>
        <w:gridCol w:w="1093"/>
        <w:gridCol w:w="1266"/>
        <w:gridCol w:w="1081"/>
        <w:gridCol w:w="1119"/>
        <w:gridCol w:w="1133"/>
        <w:gridCol w:w="1120"/>
        <w:gridCol w:w="1133"/>
        <w:gridCol w:w="1180"/>
        <w:gridCol w:w="1193"/>
        <w:gridCol w:w="1167"/>
        <w:gridCol w:w="1233"/>
      </w:tblGrid>
      <w:tr>
        <w:tblPrEx>
          <w:tblCellMar>
            <w:top w:w="121" w:type="dxa"/>
            <w:left w:w="57" w:type="dxa"/>
            <w:bottom w:w="0" w:type="dxa"/>
            <w:right w:w="39" w:type="dxa"/>
          </w:tblCellMar>
        </w:tblPrEx>
        <w:trPr>
          <w:trHeight w:val="698" w:hRule="atLeast"/>
        </w:trPr>
        <w:tc>
          <w:tcPr>
            <w:tcW w:w="1093" w:type="dxa"/>
            <w:vMerge w:val="restart"/>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284" w:firstLine="0"/>
              <w:textAlignment w:val="auto"/>
              <w:rPr>
                <w:rFonts w:hint="eastAsia" w:ascii="宋体" w:hAnsi="宋体" w:eastAsia="宋体" w:cs="宋体"/>
                <w:sz w:val="21"/>
                <w:szCs w:val="21"/>
              </w:rPr>
            </w:pPr>
            <w:r>
              <w:rPr>
                <w:rFonts w:hint="eastAsia" w:ascii="宋体" w:hAnsi="宋体" w:eastAsia="宋体" w:cs="宋体"/>
                <w:sz w:val="21"/>
                <w:szCs w:val="21"/>
              </w:rPr>
              <w:t>区域</w:t>
            </w:r>
          </w:p>
        </w:tc>
        <w:tc>
          <w:tcPr>
            <w:tcW w:w="2347" w:type="dxa"/>
            <w:gridSpan w:val="2"/>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righ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仓储能力</w:t>
            </w:r>
          </w:p>
        </w:tc>
        <w:tc>
          <w:tcPr>
            <w:tcW w:w="3372" w:type="dxa"/>
            <w:gridSpan w:val="3"/>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加工能力</w:t>
            </w:r>
          </w:p>
        </w:tc>
        <w:tc>
          <w:tcPr>
            <w:tcW w:w="2313" w:type="dxa"/>
            <w:gridSpan w:val="2"/>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righ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运输能力</w:t>
            </w:r>
          </w:p>
        </w:tc>
        <w:tc>
          <w:tcPr>
            <w:tcW w:w="3593" w:type="dxa"/>
            <w:gridSpan w:val="3"/>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right="5" w:firstLine="0"/>
              <w:jc w:val="center"/>
              <w:textAlignment w:val="auto"/>
              <w:rPr>
                <w:rFonts w:hint="eastAsia" w:ascii="宋体" w:hAnsi="宋体" w:eastAsia="宋体" w:cs="宋体"/>
                <w:sz w:val="21"/>
                <w:szCs w:val="21"/>
              </w:rPr>
            </w:pPr>
            <w:r>
              <w:rPr>
                <w:rFonts w:hint="eastAsia" w:ascii="宋体" w:hAnsi="宋体" w:eastAsia="宋体" w:cs="宋体"/>
                <w:sz w:val="21"/>
                <w:szCs w:val="21"/>
              </w:rPr>
              <w:t>供应能力</w:t>
            </w:r>
          </w:p>
        </w:tc>
      </w:tr>
      <w:tr>
        <w:tblPrEx>
          <w:tblCellMar>
            <w:top w:w="121" w:type="dxa"/>
            <w:left w:w="57" w:type="dxa"/>
            <w:bottom w:w="0" w:type="dxa"/>
            <w:right w:w="39" w:type="dxa"/>
          </w:tblCellMar>
        </w:tblPrEx>
        <w:trPr>
          <w:trHeight w:val="1206" w:hRule="atLeast"/>
        </w:trPr>
        <w:tc>
          <w:tcPr>
            <w:tcW w:w="1093" w:type="dxa"/>
            <w:vMerge w:val="continue"/>
            <w:tcBorders>
              <w:top w:val="nil"/>
              <w:left w:val="single" w:color="000000" w:sz="8" w:space="0"/>
              <w:bottom w:val="single" w:color="000000" w:sz="8" w:space="0"/>
              <w:right w:val="single" w:color="000000" w:sz="8" w:space="0"/>
            </w:tcBorders>
            <w:noWrap w:val="0"/>
            <w:vAlign w:val="top"/>
          </w:tcPr>
          <w:p>
            <w:pPr>
              <w:pageBreakBefore w:val="0"/>
              <w:kinsoku/>
              <w:wordWrap/>
              <w:overflowPunct/>
              <w:topLinePunct w:val="0"/>
              <w:autoSpaceDE/>
              <w:autoSpaceDN/>
              <w:bidi w:val="0"/>
              <w:spacing w:line="240" w:lineRule="exact"/>
              <w:ind w:left="0" w:firstLine="0"/>
              <w:textAlignment w:val="auto"/>
              <w:rPr>
                <w:rFonts w:hint="eastAsia" w:ascii="宋体" w:hAnsi="宋体" w:eastAsia="宋体" w:cs="宋体"/>
                <w:sz w:val="21"/>
                <w:szCs w:val="21"/>
              </w:rPr>
            </w:pPr>
          </w:p>
        </w:tc>
        <w:tc>
          <w:tcPr>
            <w:tcW w:w="1266"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173" w:firstLine="0"/>
              <w:jc w:val="both"/>
              <w:textAlignment w:val="auto"/>
              <w:rPr>
                <w:rFonts w:hint="eastAsia" w:ascii="宋体" w:hAnsi="宋体" w:eastAsia="宋体" w:cs="宋体"/>
                <w:sz w:val="21"/>
                <w:szCs w:val="21"/>
              </w:rPr>
            </w:pPr>
            <w:r>
              <w:rPr>
                <w:rFonts w:hint="eastAsia" w:ascii="宋体" w:hAnsi="宋体" w:eastAsia="宋体" w:cs="宋体"/>
                <w:sz w:val="21"/>
                <w:szCs w:val="21"/>
              </w:rPr>
              <w:t>库房仓容</w:t>
            </w:r>
          </w:p>
        </w:tc>
        <w:tc>
          <w:tcPr>
            <w:tcW w:w="1081"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72" w:firstLine="0"/>
              <w:jc w:val="both"/>
              <w:textAlignment w:val="auto"/>
              <w:rPr>
                <w:rFonts w:hint="eastAsia" w:ascii="宋体" w:hAnsi="宋体" w:eastAsia="宋体" w:cs="宋体"/>
                <w:sz w:val="21"/>
                <w:szCs w:val="21"/>
              </w:rPr>
            </w:pPr>
            <w:r>
              <w:rPr>
                <w:rFonts w:hint="eastAsia" w:ascii="宋体" w:hAnsi="宋体" w:eastAsia="宋体" w:cs="宋体"/>
                <w:sz w:val="21"/>
                <w:szCs w:val="21"/>
              </w:rPr>
              <w:t>油罐罐容</w:t>
            </w:r>
          </w:p>
        </w:tc>
        <w:tc>
          <w:tcPr>
            <w:tcW w:w="1119"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小麦日加工能力</w:t>
            </w:r>
          </w:p>
        </w:tc>
        <w:tc>
          <w:tcPr>
            <w:tcW w:w="1133"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稻谷日加工能力</w:t>
            </w:r>
          </w:p>
        </w:tc>
        <w:tc>
          <w:tcPr>
            <w:tcW w:w="1120"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油脂分装日加工能力</w:t>
            </w:r>
          </w:p>
        </w:tc>
        <w:tc>
          <w:tcPr>
            <w:tcW w:w="1133"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日运输能力</w:t>
            </w:r>
          </w:p>
        </w:tc>
        <w:tc>
          <w:tcPr>
            <w:tcW w:w="1180"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自有车辆日运输能力</w:t>
            </w:r>
          </w:p>
        </w:tc>
        <w:tc>
          <w:tcPr>
            <w:tcW w:w="1193"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小麦粉日供应能力</w:t>
            </w:r>
          </w:p>
        </w:tc>
        <w:tc>
          <w:tcPr>
            <w:tcW w:w="1167"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大米日供应能力</w:t>
            </w:r>
          </w:p>
        </w:tc>
        <w:tc>
          <w:tcPr>
            <w:tcW w:w="1233"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食用油日供应能力</w:t>
            </w:r>
          </w:p>
        </w:tc>
      </w:tr>
      <w:tr>
        <w:tblPrEx>
          <w:tblCellMar>
            <w:top w:w="121" w:type="dxa"/>
            <w:left w:w="57" w:type="dxa"/>
            <w:bottom w:w="0" w:type="dxa"/>
            <w:right w:w="39" w:type="dxa"/>
          </w:tblCellMar>
        </w:tblPrEx>
        <w:trPr>
          <w:trHeight w:val="1063" w:hRule="atLeast"/>
        </w:trPr>
        <w:tc>
          <w:tcPr>
            <w:tcW w:w="1093"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140" w:firstLine="0"/>
              <w:jc w:val="both"/>
              <w:textAlignment w:val="auto"/>
              <w:rPr>
                <w:rFonts w:hint="eastAsia" w:ascii="宋体" w:hAnsi="宋体" w:eastAsia="宋体" w:cs="宋体"/>
                <w:sz w:val="21"/>
                <w:szCs w:val="21"/>
              </w:rPr>
            </w:pPr>
            <w:r>
              <w:rPr>
                <w:rFonts w:hint="eastAsia" w:ascii="宋体" w:hAnsi="宋体" w:eastAsia="宋体" w:cs="宋体"/>
                <w:sz w:val="21"/>
                <w:szCs w:val="21"/>
              </w:rPr>
              <w:t>主产区</w:t>
            </w:r>
          </w:p>
        </w:tc>
        <w:tc>
          <w:tcPr>
            <w:tcW w:w="1266"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righ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130000</w:t>
            </w:r>
          </w:p>
        </w:tc>
        <w:tc>
          <w:tcPr>
            <w:tcW w:w="1081"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righ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30000</w:t>
            </w:r>
          </w:p>
        </w:tc>
        <w:tc>
          <w:tcPr>
            <w:tcW w:w="1119"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800</w:t>
            </w:r>
          </w:p>
        </w:tc>
        <w:tc>
          <w:tcPr>
            <w:tcW w:w="1133"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6" w:firstLine="0"/>
              <w:jc w:val="center"/>
              <w:textAlignment w:val="auto"/>
              <w:rPr>
                <w:rFonts w:hint="eastAsia" w:ascii="宋体" w:hAnsi="宋体" w:eastAsia="宋体" w:cs="宋体"/>
                <w:sz w:val="21"/>
                <w:szCs w:val="21"/>
              </w:rPr>
            </w:pPr>
            <w:r>
              <w:rPr>
                <w:rFonts w:hint="eastAsia" w:ascii="宋体" w:hAnsi="宋体" w:eastAsia="宋体" w:cs="宋体"/>
                <w:sz w:val="21"/>
                <w:szCs w:val="21"/>
              </w:rPr>
              <w:t>500</w:t>
            </w:r>
          </w:p>
        </w:tc>
        <w:tc>
          <w:tcPr>
            <w:tcW w:w="1120"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1" w:firstLine="0"/>
              <w:jc w:val="center"/>
              <w:textAlignment w:val="auto"/>
              <w:rPr>
                <w:rFonts w:hint="eastAsia" w:ascii="宋体" w:hAnsi="宋体" w:eastAsia="宋体" w:cs="宋体"/>
                <w:sz w:val="21"/>
                <w:szCs w:val="21"/>
              </w:rPr>
            </w:pPr>
            <w:r>
              <w:rPr>
                <w:rFonts w:hint="eastAsia" w:ascii="宋体" w:hAnsi="宋体" w:eastAsia="宋体" w:cs="宋体"/>
                <w:sz w:val="21"/>
                <w:szCs w:val="21"/>
              </w:rPr>
              <w:t>400</w:t>
            </w:r>
          </w:p>
        </w:tc>
        <w:tc>
          <w:tcPr>
            <w:tcW w:w="1133"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righ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800</w:t>
            </w:r>
          </w:p>
        </w:tc>
        <w:tc>
          <w:tcPr>
            <w:tcW w:w="1180"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250</w:t>
            </w:r>
          </w:p>
        </w:tc>
        <w:tc>
          <w:tcPr>
            <w:tcW w:w="1193"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right="5" w:firstLine="0"/>
              <w:jc w:val="center"/>
              <w:textAlignment w:val="auto"/>
              <w:rPr>
                <w:rFonts w:hint="eastAsia" w:ascii="宋体" w:hAnsi="宋体" w:eastAsia="宋体" w:cs="宋体"/>
                <w:sz w:val="21"/>
                <w:szCs w:val="21"/>
              </w:rPr>
            </w:pPr>
            <w:r>
              <w:rPr>
                <w:rFonts w:hint="eastAsia" w:ascii="宋体" w:hAnsi="宋体" w:eastAsia="宋体" w:cs="宋体"/>
                <w:sz w:val="21"/>
                <w:szCs w:val="21"/>
              </w:rPr>
              <w:t>200</w:t>
            </w:r>
          </w:p>
        </w:tc>
        <w:tc>
          <w:tcPr>
            <w:tcW w:w="1167"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righ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150</w:t>
            </w:r>
          </w:p>
        </w:tc>
        <w:tc>
          <w:tcPr>
            <w:tcW w:w="1233"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100</w:t>
            </w:r>
          </w:p>
        </w:tc>
      </w:tr>
      <w:tr>
        <w:tblPrEx>
          <w:tblCellMar>
            <w:top w:w="121" w:type="dxa"/>
            <w:left w:w="57" w:type="dxa"/>
            <w:bottom w:w="0" w:type="dxa"/>
            <w:right w:w="39" w:type="dxa"/>
          </w:tblCellMar>
        </w:tblPrEx>
        <w:trPr>
          <w:trHeight w:val="900" w:hRule="atLeast"/>
        </w:trPr>
        <w:tc>
          <w:tcPr>
            <w:tcW w:w="1093"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145" w:firstLine="0"/>
              <w:jc w:val="both"/>
              <w:textAlignment w:val="auto"/>
              <w:rPr>
                <w:rFonts w:hint="eastAsia" w:ascii="宋体" w:hAnsi="宋体" w:eastAsia="宋体" w:cs="宋体"/>
                <w:sz w:val="21"/>
                <w:szCs w:val="21"/>
              </w:rPr>
            </w:pPr>
            <w:r>
              <w:rPr>
                <w:rFonts w:hint="eastAsia" w:ascii="宋体" w:hAnsi="宋体" w:eastAsia="宋体" w:cs="宋体"/>
                <w:sz w:val="21"/>
                <w:szCs w:val="21"/>
              </w:rPr>
              <w:t>平衡区</w:t>
            </w:r>
          </w:p>
        </w:tc>
        <w:tc>
          <w:tcPr>
            <w:tcW w:w="1266"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righ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120000</w:t>
            </w:r>
          </w:p>
        </w:tc>
        <w:tc>
          <w:tcPr>
            <w:tcW w:w="1081"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righ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28000</w:t>
            </w:r>
          </w:p>
        </w:tc>
        <w:tc>
          <w:tcPr>
            <w:tcW w:w="1119"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500</w:t>
            </w:r>
          </w:p>
        </w:tc>
        <w:tc>
          <w:tcPr>
            <w:tcW w:w="1133"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6" w:firstLine="0"/>
              <w:jc w:val="center"/>
              <w:textAlignment w:val="auto"/>
              <w:rPr>
                <w:rFonts w:hint="eastAsia" w:ascii="宋体" w:hAnsi="宋体" w:eastAsia="宋体" w:cs="宋体"/>
                <w:sz w:val="21"/>
                <w:szCs w:val="21"/>
              </w:rPr>
            </w:pPr>
            <w:r>
              <w:rPr>
                <w:rFonts w:hint="eastAsia" w:ascii="宋体" w:hAnsi="宋体" w:eastAsia="宋体" w:cs="宋体"/>
                <w:sz w:val="21"/>
                <w:szCs w:val="21"/>
              </w:rPr>
              <w:t>400</w:t>
            </w:r>
          </w:p>
        </w:tc>
        <w:tc>
          <w:tcPr>
            <w:tcW w:w="1120"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1" w:firstLine="0"/>
              <w:jc w:val="center"/>
              <w:textAlignment w:val="auto"/>
              <w:rPr>
                <w:rFonts w:hint="eastAsia" w:ascii="宋体" w:hAnsi="宋体" w:eastAsia="宋体" w:cs="宋体"/>
                <w:sz w:val="21"/>
                <w:szCs w:val="21"/>
              </w:rPr>
            </w:pPr>
            <w:r>
              <w:rPr>
                <w:rFonts w:hint="eastAsia" w:ascii="宋体" w:hAnsi="宋体" w:eastAsia="宋体" w:cs="宋体"/>
                <w:sz w:val="21"/>
                <w:szCs w:val="21"/>
              </w:rPr>
              <w:t>300</w:t>
            </w:r>
          </w:p>
        </w:tc>
        <w:tc>
          <w:tcPr>
            <w:tcW w:w="1133"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righ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600</w:t>
            </w:r>
          </w:p>
        </w:tc>
        <w:tc>
          <w:tcPr>
            <w:tcW w:w="1180"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200</w:t>
            </w:r>
          </w:p>
        </w:tc>
        <w:tc>
          <w:tcPr>
            <w:tcW w:w="1193"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right="5" w:firstLine="0"/>
              <w:jc w:val="center"/>
              <w:textAlignment w:val="auto"/>
              <w:rPr>
                <w:rFonts w:hint="eastAsia" w:ascii="宋体" w:hAnsi="宋体" w:eastAsia="宋体" w:cs="宋体"/>
                <w:sz w:val="21"/>
                <w:szCs w:val="21"/>
              </w:rPr>
            </w:pPr>
            <w:r>
              <w:rPr>
                <w:rFonts w:hint="eastAsia" w:ascii="宋体" w:hAnsi="宋体" w:eastAsia="宋体" w:cs="宋体"/>
                <w:sz w:val="21"/>
                <w:szCs w:val="21"/>
              </w:rPr>
              <w:t>150</w:t>
            </w:r>
          </w:p>
        </w:tc>
        <w:tc>
          <w:tcPr>
            <w:tcW w:w="1167"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righ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100</w:t>
            </w:r>
          </w:p>
        </w:tc>
        <w:tc>
          <w:tcPr>
            <w:tcW w:w="1233"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righ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50</w:t>
            </w:r>
          </w:p>
        </w:tc>
      </w:tr>
      <w:tr>
        <w:tblPrEx>
          <w:tblCellMar>
            <w:top w:w="121" w:type="dxa"/>
            <w:left w:w="57" w:type="dxa"/>
            <w:bottom w:w="0" w:type="dxa"/>
            <w:right w:w="39" w:type="dxa"/>
          </w:tblCellMar>
        </w:tblPrEx>
        <w:trPr>
          <w:trHeight w:val="1024" w:hRule="atLeast"/>
        </w:trPr>
        <w:tc>
          <w:tcPr>
            <w:tcW w:w="1093"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145" w:firstLine="0"/>
              <w:jc w:val="both"/>
              <w:textAlignment w:val="auto"/>
              <w:rPr>
                <w:rFonts w:hint="eastAsia" w:ascii="宋体" w:hAnsi="宋体" w:eastAsia="宋体" w:cs="宋体"/>
                <w:sz w:val="21"/>
                <w:szCs w:val="21"/>
              </w:rPr>
            </w:pPr>
            <w:r>
              <w:rPr>
                <w:rFonts w:hint="eastAsia" w:ascii="宋体" w:hAnsi="宋体" w:eastAsia="宋体" w:cs="宋体"/>
                <w:sz w:val="21"/>
                <w:szCs w:val="21"/>
              </w:rPr>
              <w:t>主销区</w:t>
            </w:r>
          </w:p>
        </w:tc>
        <w:tc>
          <w:tcPr>
            <w:tcW w:w="1266"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righ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120000</w:t>
            </w:r>
          </w:p>
        </w:tc>
        <w:tc>
          <w:tcPr>
            <w:tcW w:w="1081"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righ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30000</w:t>
            </w:r>
          </w:p>
        </w:tc>
        <w:tc>
          <w:tcPr>
            <w:tcW w:w="1119"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450</w:t>
            </w:r>
          </w:p>
        </w:tc>
        <w:tc>
          <w:tcPr>
            <w:tcW w:w="1133"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6" w:firstLine="0"/>
              <w:jc w:val="center"/>
              <w:textAlignment w:val="auto"/>
              <w:rPr>
                <w:rFonts w:hint="eastAsia" w:ascii="宋体" w:hAnsi="宋体" w:eastAsia="宋体" w:cs="宋体"/>
                <w:sz w:val="21"/>
                <w:szCs w:val="21"/>
              </w:rPr>
            </w:pPr>
            <w:r>
              <w:rPr>
                <w:rFonts w:hint="eastAsia" w:ascii="宋体" w:hAnsi="宋体" w:eastAsia="宋体" w:cs="宋体"/>
                <w:sz w:val="21"/>
                <w:szCs w:val="21"/>
              </w:rPr>
              <w:t>350</w:t>
            </w:r>
          </w:p>
        </w:tc>
        <w:tc>
          <w:tcPr>
            <w:tcW w:w="1120"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1" w:firstLine="0"/>
              <w:jc w:val="center"/>
              <w:textAlignment w:val="auto"/>
              <w:rPr>
                <w:rFonts w:hint="eastAsia" w:ascii="宋体" w:hAnsi="宋体" w:eastAsia="宋体" w:cs="宋体"/>
                <w:sz w:val="21"/>
                <w:szCs w:val="21"/>
              </w:rPr>
            </w:pPr>
            <w:r>
              <w:rPr>
                <w:rFonts w:hint="eastAsia" w:ascii="宋体" w:hAnsi="宋体" w:eastAsia="宋体" w:cs="宋体"/>
                <w:sz w:val="21"/>
                <w:szCs w:val="21"/>
              </w:rPr>
              <w:t>500</w:t>
            </w:r>
          </w:p>
        </w:tc>
        <w:tc>
          <w:tcPr>
            <w:tcW w:w="1133"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righ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900</w:t>
            </w:r>
          </w:p>
        </w:tc>
        <w:tc>
          <w:tcPr>
            <w:tcW w:w="1180"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300</w:t>
            </w:r>
          </w:p>
        </w:tc>
        <w:tc>
          <w:tcPr>
            <w:tcW w:w="1193"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right="5" w:firstLine="0"/>
              <w:jc w:val="center"/>
              <w:textAlignment w:val="auto"/>
              <w:rPr>
                <w:rFonts w:hint="eastAsia" w:ascii="宋体" w:hAnsi="宋体" w:eastAsia="宋体" w:cs="宋体"/>
                <w:sz w:val="21"/>
                <w:szCs w:val="21"/>
              </w:rPr>
            </w:pPr>
            <w:r>
              <w:rPr>
                <w:rFonts w:hint="eastAsia" w:ascii="宋体" w:hAnsi="宋体" w:eastAsia="宋体" w:cs="宋体"/>
                <w:sz w:val="21"/>
                <w:szCs w:val="21"/>
              </w:rPr>
              <w:t>500</w:t>
            </w:r>
          </w:p>
        </w:tc>
        <w:tc>
          <w:tcPr>
            <w:tcW w:w="1167"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right="4" w:firstLine="0"/>
              <w:jc w:val="center"/>
              <w:textAlignment w:val="auto"/>
              <w:rPr>
                <w:rFonts w:hint="eastAsia" w:ascii="宋体" w:hAnsi="宋体" w:eastAsia="宋体" w:cs="宋体"/>
                <w:sz w:val="21"/>
                <w:szCs w:val="21"/>
              </w:rPr>
            </w:pPr>
            <w:r>
              <w:rPr>
                <w:rFonts w:hint="eastAsia" w:ascii="宋体" w:hAnsi="宋体" w:eastAsia="宋体" w:cs="宋体"/>
                <w:sz w:val="21"/>
                <w:szCs w:val="21"/>
              </w:rPr>
              <w:t>300</w:t>
            </w:r>
          </w:p>
        </w:tc>
        <w:tc>
          <w:tcPr>
            <w:tcW w:w="1233" w:type="dxa"/>
            <w:tcBorders>
              <w:top w:val="single" w:color="000000" w:sz="8" w:space="0"/>
              <w:left w:val="single" w:color="000000" w:sz="8" w:space="0"/>
              <w:bottom w:val="single" w:color="000000" w:sz="8" w:space="0"/>
              <w:right w:val="single" w:color="000000" w:sz="8" w:space="0"/>
            </w:tcBorders>
            <w:noWrap w:val="0"/>
            <w:vAlign w:val="center"/>
          </w:tcPr>
          <w:p>
            <w:pPr>
              <w:pageBreakBefore w:val="0"/>
              <w:kinsoku/>
              <w:wordWrap/>
              <w:overflowPunct/>
              <w:topLinePunct w:val="0"/>
              <w:autoSpaceDE/>
              <w:autoSpaceDN/>
              <w:bidi w:val="0"/>
              <w:spacing w:line="240" w:lineRule="exact"/>
              <w:ind w:left="0" w:firstLine="0"/>
              <w:jc w:val="center"/>
              <w:textAlignment w:val="auto"/>
              <w:rPr>
                <w:rFonts w:hint="eastAsia" w:ascii="宋体" w:hAnsi="宋体" w:eastAsia="宋体" w:cs="宋体"/>
                <w:sz w:val="21"/>
                <w:szCs w:val="21"/>
              </w:rPr>
            </w:pPr>
            <w:r>
              <w:rPr>
                <w:rFonts w:hint="eastAsia" w:ascii="宋体" w:hAnsi="宋体" w:eastAsia="宋体" w:cs="宋体"/>
                <w:sz w:val="21"/>
                <w:szCs w:val="21"/>
              </w:rPr>
              <w:t>100</w:t>
            </w:r>
          </w:p>
        </w:tc>
      </w:tr>
    </w:tbl>
    <w:p>
      <w:pPr>
        <w:pageBreakBefore w:val="0"/>
        <w:kinsoku/>
        <w:wordWrap/>
        <w:overflowPunct/>
        <w:topLinePunct w:val="0"/>
        <w:autoSpaceDE/>
        <w:autoSpaceDN/>
        <w:bidi w:val="0"/>
        <w:spacing w:line="240" w:lineRule="exact"/>
        <w:textAlignment w:val="auto"/>
        <w:rPr>
          <w:rFonts w:hint="eastAsia" w:ascii="宋体" w:hAnsi="宋体" w:eastAsia="宋体" w:cs="宋体"/>
          <w:sz w:val="21"/>
          <w:szCs w:val="21"/>
        </w:rPr>
      </w:pPr>
      <w:r>
        <w:rPr>
          <w:rFonts w:hint="eastAsia" w:ascii="宋体" w:hAnsi="宋体" w:eastAsia="宋体" w:cs="宋体"/>
          <w:sz w:val="21"/>
          <w:szCs w:val="21"/>
        </w:rPr>
        <w:t>备注：1.以上标准数据来自2020年底申报国家级粮食应急保障企业有关数据，经国家粮食和物资储备局分析得出；</w:t>
      </w:r>
    </w:p>
    <w:p>
      <w:pPr>
        <w:pageBreakBefore w:val="0"/>
        <w:numPr>
          <w:ilvl w:val="0"/>
          <w:numId w:val="1"/>
        </w:numPr>
        <w:kinsoku/>
        <w:wordWrap/>
        <w:overflowPunct/>
        <w:topLinePunct w:val="0"/>
        <w:autoSpaceDE/>
        <w:autoSpaceDN/>
        <w:bidi w:val="0"/>
        <w:spacing w:line="240" w:lineRule="exact"/>
        <w:ind w:left="641" w:leftChars="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应急保障中心标准，以国家级粮食应急保障企业标准为基础，应满足仓储、加工、运输、供应中两个以上功能指标。</w:t>
      </w:r>
    </w:p>
    <w:p>
      <w:pPr>
        <w:pStyle w:val="11"/>
        <w:widowControl w:val="0"/>
        <w:numPr>
          <w:ilvl w:val="0"/>
          <w:numId w:val="0"/>
        </w:numPr>
        <w:adjustRightInd w:val="0"/>
        <w:snapToGrid w:val="0"/>
        <w:spacing w:after="120" w:afterLines="0" w:afterAutospacing="0" w:line="579" w:lineRule="exact"/>
        <w:jc w:val="both"/>
        <w:rPr>
          <w:rFonts w:hint="eastAsia" w:eastAsia="仿宋_GB2312"/>
          <w:lang w:eastAsia="zh-CN"/>
        </w:rPr>
        <w:sectPr>
          <w:pgSz w:w="16838" w:h="11906" w:orient="landscape"/>
          <w:pgMar w:top="720" w:right="720" w:bottom="720" w:left="720" w:header="851" w:footer="850" w:gutter="0"/>
          <w:pgNumType w:fmt="decimal"/>
          <w:cols w:space="720" w:num="1"/>
          <w:rtlGutter w:val="0"/>
          <w:docGrid w:type="lines" w:linePitch="442" w:charSpace="0"/>
        </w:sectPr>
      </w:pPr>
    </w:p>
    <w:p>
      <w:pPr>
        <w:rPr>
          <w:rFonts w:hint="eastAsia" w:ascii="仿宋" w:hAnsi="仿宋" w:eastAsia="仿宋"/>
          <w:sz w:val="32"/>
          <w:szCs w:val="32"/>
          <w:lang w:val="en-US" w:eastAsia="zh-CN"/>
        </w:rPr>
      </w:pPr>
      <w:r>
        <w:rPr>
          <w:rFonts w:hint="eastAsia" w:ascii="仿宋" w:hAnsi="仿宋" w:eastAsia="仿宋"/>
          <w:sz w:val="32"/>
          <w:szCs w:val="32"/>
          <w:lang w:val="en-US" w:eastAsia="zh-CN"/>
        </w:rPr>
        <w:t>附件2：</w:t>
      </w:r>
    </w:p>
    <w:p>
      <w:pPr>
        <w:rPr>
          <w:rFonts w:hint="eastAsia" w:ascii="仿宋" w:hAnsi="仿宋" w:eastAsia="仿宋"/>
          <w:sz w:val="32"/>
          <w:szCs w:val="32"/>
          <w:lang w:val="en-US" w:eastAsia="zh-CN"/>
        </w:rPr>
      </w:pPr>
    </w:p>
    <w:p>
      <w:pPr>
        <w:rPr>
          <w:rFonts w:hint="eastAsia" w:ascii="仿宋" w:hAnsi="仿宋" w:eastAsia="仿宋"/>
          <w:sz w:val="32"/>
          <w:szCs w:val="32"/>
          <w:lang w:val="en-US" w:eastAsia="zh-CN"/>
        </w:rPr>
      </w:pPr>
    </w:p>
    <w:p>
      <w:pPr>
        <w:jc w:val="center"/>
        <w:rPr>
          <w:rFonts w:hint="eastAsia" w:ascii="仿宋" w:hAnsi="仿宋" w:eastAsia="仿宋"/>
          <w:sz w:val="32"/>
          <w:szCs w:val="32"/>
          <w:lang w:val="en-US" w:eastAsia="zh-CN"/>
        </w:rPr>
      </w:pPr>
      <w:r>
        <w:rPr>
          <w:rFonts w:hint="eastAsia" w:ascii="宋体" w:hAnsi="宋体" w:eastAsia="宋体" w:cs="宋体"/>
          <w:b/>
          <w:bCs/>
          <w:sz w:val="28"/>
          <w:szCs w:val="28"/>
          <w:lang w:val="en-US" w:eastAsia="zh-CN"/>
        </w:rPr>
        <w:t>粮食应急保障协议书</w:t>
      </w:r>
    </w:p>
    <w:p>
      <w:pPr>
        <w:rPr>
          <w:rFonts w:hint="eastAsia" w:ascii="仿宋" w:hAnsi="仿宋" w:eastAsia="仿宋"/>
          <w:sz w:val="32"/>
          <w:szCs w:val="32"/>
          <w:lang w:val="en-US" w:eastAsia="zh-CN"/>
        </w:rPr>
      </w:pPr>
    </w:p>
    <w:p>
      <w:pPr>
        <w:rPr>
          <w:rFonts w:hint="eastAsia" w:ascii="仿宋" w:hAnsi="仿宋" w:eastAsia="仿宋"/>
          <w:sz w:val="32"/>
          <w:szCs w:val="32"/>
          <w:lang w:val="en-US" w:eastAsia="zh-CN"/>
        </w:rPr>
      </w:pPr>
    </w:p>
    <w:p>
      <w:pPr>
        <w:rPr>
          <w:rFonts w:hint="eastAsia" w:ascii="仿宋" w:hAnsi="仿宋" w:eastAsia="仿宋"/>
          <w:sz w:val="32"/>
          <w:szCs w:val="32"/>
          <w:lang w:val="en-US" w:eastAsia="zh-CN"/>
        </w:rPr>
      </w:pPr>
    </w:p>
    <w:p>
      <w:pPr>
        <w:rPr>
          <w:rFonts w:hint="eastAsia" w:ascii="仿宋" w:hAnsi="仿宋" w:eastAsia="仿宋"/>
          <w:sz w:val="32"/>
          <w:szCs w:val="32"/>
          <w:lang w:val="en-US" w:eastAsia="zh-CN"/>
        </w:rPr>
      </w:pPr>
    </w:p>
    <w:p>
      <w:pPr>
        <w:jc w:val="right"/>
        <w:rPr>
          <w:rFonts w:hint="eastAsia" w:ascii="仿宋" w:hAnsi="仿宋" w:eastAsia="仿宋"/>
          <w:sz w:val="32"/>
          <w:szCs w:val="32"/>
          <w:lang w:val="en-US" w:eastAsia="zh-CN"/>
        </w:rPr>
      </w:pPr>
      <w:r>
        <w:rPr>
          <w:rFonts w:hint="eastAsia" w:ascii="仿宋" w:hAnsi="仿宋" w:eastAsia="仿宋"/>
          <w:sz w:val="32"/>
          <w:szCs w:val="32"/>
          <w:lang w:val="en-US" w:eastAsia="zh-CN"/>
        </w:rPr>
        <w:t xml:space="preserve">      粮食和物资储备局监制</w:t>
      </w:r>
    </w:p>
    <w:p>
      <w:pPr>
        <w:jc w:val="right"/>
        <w:rPr>
          <w:rFonts w:hint="default" w:ascii="仿宋" w:hAnsi="仿宋" w:eastAsia="仿宋"/>
          <w:sz w:val="32"/>
          <w:szCs w:val="32"/>
          <w:lang w:val="en-US" w:eastAsia="zh-CN"/>
        </w:rPr>
      </w:pPr>
      <w:r>
        <w:rPr>
          <w:rFonts w:hint="eastAsia" w:ascii="仿宋" w:hAnsi="仿宋" w:eastAsia="仿宋"/>
          <w:sz w:val="32"/>
          <w:szCs w:val="32"/>
          <w:lang w:val="en-US" w:eastAsia="zh-CN"/>
        </w:rPr>
        <w:t xml:space="preserve">    年  月</w:t>
      </w:r>
    </w:p>
    <w:p>
      <w:pPr>
        <w:rPr>
          <w:rFonts w:hint="eastAsia" w:ascii="仿宋" w:hAnsi="仿宋" w:eastAsia="仿宋"/>
          <w:sz w:val="32"/>
          <w:szCs w:val="32"/>
          <w:lang w:eastAsia="zh-CN"/>
        </w:rPr>
      </w:pPr>
    </w:p>
    <w:p>
      <w:pPr>
        <w:rPr>
          <w:rFonts w:hint="eastAsia" w:ascii="仿宋" w:hAnsi="仿宋" w:eastAsia="仿宋"/>
          <w:sz w:val="32"/>
          <w:szCs w:val="32"/>
          <w:lang w:eastAsia="zh-CN"/>
        </w:rPr>
        <w:sectPr>
          <w:headerReference r:id="rId5" w:type="default"/>
          <w:footerReference r:id="rId6" w:type="default"/>
          <w:pgSz w:w="11906" w:h="16838"/>
          <w:pgMar w:top="1440" w:right="1800" w:bottom="1440" w:left="1800" w:header="851" w:footer="992" w:gutter="0"/>
          <w:pgNumType w:fmt="decimal" w:start="19"/>
          <w:cols w:space="720" w:num="1"/>
          <w:docGrid w:type="lines" w:linePitch="312" w:charSpace="0"/>
        </w:sectPr>
      </w:pPr>
    </w:p>
    <w:p>
      <w:pPr>
        <w:rPr>
          <w:rFonts w:hint="default" w:ascii="仿宋" w:hAnsi="仿宋" w:eastAsia="仿宋"/>
          <w:sz w:val="32"/>
          <w:szCs w:val="32"/>
          <w:lang w:val="en-US" w:eastAsia="zh-CN"/>
        </w:rPr>
      </w:pPr>
      <w:r>
        <w:rPr>
          <w:rFonts w:hint="eastAsia" w:ascii="仿宋" w:hAnsi="仿宋" w:eastAsia="仿宋"/>
          <w:sz w:val="32"/>
          <w:szCs w:val="32"/>
          <w:lang w:val="en-US" w:eastAsia="zh-CN"/>
        </w:rPr>
        <w:t xml:space="preserve">  编号：        </w:t>
      </w:r>
    </w:p>
    <w:p>
      <w:pPr>
        <w:rPr>
          <w:rFonts w:hint="eastAsia" w:ascii="仿宋" w:hAnsi="仿宋" w:eastAsia="仿宋"/>
          <w:sz w:val="32"/>
          <w:szCs w:val="32"/>
        </w:rPr>
      </w:pPr>
    </w:p>
    <w:p>
      <w:pPr>
        <w:jc w:val="center"/>
        <w:rPr>
          <w:rFonts w:hint="eastAsia" w:ascii="宋体" w:hAnsi="宋体" w:eastAsia="宋体" w:cs="宋体"/>
          <w:b/>
          <w:bCs/>
          <w:sz w:val="28"/>
          <w:szCs w:val="28"/>
        </w:rPr>
      </w:pPr>
      <w:r>
        <w:rPr>
          <w:rFonts w:hint="eastAsia" w:ascii="宋体" w:hAnsi="宋体" w:eastAsia="宋体" w:cs="宋体"/>
          <w:b/>
          <w:bCs/>
          <w:sz w:val="28"/>
          <w:szCs w:val="28"/>
        </w:rPr>
        <w:t>粮食应急保障协议书</w:t>
      </w:r>
    </w:p>
    <w:p>
      <w:pPr>
        <w:rPr>
          <w:rFonts w:hint="eastAsia" w:ascii="仿宋" w:hAnsi="仿宋" w:eastAsia="仿宋"/>
          <w:sz w:val="32"/>
          <w:szCs w:val="32"/>
        </w:rPr>
      </w:pPr>
    </w:p>
    <w:p>
      <w:pPr>
        <w:rPr>
          <w:rFonts w:hint="eastAsia" w:ascii="仿宋" w:hAnsi="仿宋" w:eastAsia="仿宋"/>
          <w:sz w:val="32"/>
          <w:szCs w:val="32"/>
        </w:rPr>
      </w:pPr>
      <w:r>
        <w:rPr>
          <w:rFonts w:hint="eastAsia" w:ascii="仿宋" w:hAnsi="仿宋" w:eastAsia="仿宋"/>
          <w:sz w:val="32"/>
          <w:szCs w:val="32"/>
        </w:rPr>
        <w:t>甲方：</w:t>
      </w:r>
      <w:r>
        <w:rPr>
          <w:rFonts w:hint="eastAsia" w:ascii="仿宋" w:hAnsi="仿宋" w:eastAsia="仿宋"/>
          <w:sz w:val="32"/>
          <w:szCs w:val="32"/>
          <w:lang w:val="en-US" w:eastAsia="zh-CN"/>
        </w:rPr>
        <w:t xml:space="preserve">     </w:t>
      </w:r>
      <w:r>
        <w:rPr>
          <w:rFonts w:hint="eastAsia" w:ascii="仿宋" w:hAnsi="仿宋" w:eastAsia="仿宋"/>
          <w:sz w:val="32"/>
          <w:szCs w:val="32"/>
        </w:rPr>
        <w:t>粮食和物资储备局</w:t>
      </w:r>
    </w:p>
    <w:p>
      <w:pPr>
        <w:rPr>
          <w:rFonts w:hint="eastAsia" w:ascii="仿宋" w:hAnsi="仿宋" w:eastAsia="仿宋"/>
          <w:sz w:val="32"/>
          <w:szCs w:val="32"/>
          <w:lang w:val="en-US" w:eastAsia="zh-CN"/>
        </w:rPr>
      </w:pPr>
      <w:r>
        <w:rPr>
          <w:rFonts w:hint="eastAsia" w:ascii="仿宋" w:hAnsi="仿宋" w:eastAsia="仿宋"/>
          <w:sz w:val="32"/>
          <w:szCs w:val="32"/>
        </w:rPr>
        <w:t>乙方：</w:t>
      </w:r>
    </w:p>
    <w:p>
      <w:pPr>
        <w:rPr>
          <w:rFonts w:hint="eastAsia" w:ascii="仿宋" w:hAnsi="仿宋" w:eastAsia="仿宋"/>
          <w:sz w:val="32"/>
          <w:szCs w:val="32"/>
        </w:rPr>
      </w:pPr>
    </w:p>
    <w:p>
      <w:pPr>
        <w:rPr>
          <w:rFonts w:hint="eastAsia" w:ascii="仿宋" w:hAnsi="仿宋" w:eastAsia="仿宋"/>
          <w:sz w:val="32"/>
          <w:szCs w:val="32"/>
          <w:lang w:val="en-US" w:eastAsia="zh-CN"/>
        </w:rPr>
      </w:pPr>
      <w:r>
        <w:rPr>
          <w:rFonts w:hint="eastAsia" w:ascii="仿宋" w:hAnsi="仿宋" w:eastAsia="仿宋"/>
          <w:sz w:val="32"/>
          <w:szCs w:val="32"/>
        </w:rPr>
        <w:t>为进一步规范粮食应急保障企业管理，完善</w:t>
      </w:r>
      <w:r>
        <w:rPr>
          <w:rFonts w:hint="eastAsia" w:ascii="仿宋" w:hAnsi="仿宋" w:eastAsia="仿宋"/>
          <w:sz w:val="32"/>
          <w:szCs w:val="32"/>
          <w:lang w:eastAsia="zh-CN"/>
        </w:rPr>
        <w:t>我市</w:t>
      </w:r>
      <w:r>
        <w:rPr>
          <w:rFonts w:hint="eastAsia" w:ascii="仿宋" w:hAnsi="仿宋" w:eastAsia="仿宋"/>
          <w:sz w:val="32"/>
          <w:szCs w:val="32"/>
        </w:rPr>
        <w:t>粮食应急保障机制，确保在各类应急状态下有效发挥粮食应急保障作用，</w:t>
      </w:r>
      <w:r>
        <w:rPr>
          <w:rFonts w:hint="eastAsia" w:ascii="仿宋" w:hAnsi="仿宋" w:eastAsia="仿宋"/>
          <w:sz w:val="32"/>
          <w:szCs w:val="32"/>
          <w:lang w:eastAsia="zh-CN"/>
        </w:rPr>
        <w:t>切实</w:t>
      </w:r>
      <w:r>
        <w:rPr>
          <w:rFonts w:hint="eastAsia" w:ascii="仿宋" w:hAnsi="仿宋" w:eastAsia="仿宋"/>
          <w:sz w:val="32"/>
          <w:szCs w:val="32"/>
          <w:lang w:val="en-US" w:eastAsia="zh-CN"/>
        </w:rPr>
        <w:t>维护粮油市场稳定，</w:t>
      </w:r>
      <w:r>
        <w:rPr>
          <w:rFonts w:hint="eastAsia" w:ascii="仿宋" w:hAnsi="仿宋" w:eastAsia="仿宋"/>
          <w:sz w:val="32"/>
          <w:szCs w:val="32"/>
        </w:rPr>
        <w:t>根据《粮食应急保障企业管理办法》</w:t>
      </w:r>
      <w:r>
        <w:rPr>
          <w:rFonts w:hint="eastAsia" w:ascii="仿宋" w:hAnsi="仿宋" w:eastAsia="仿宋"/>
          <w:sz w:val="32"/>
          <w:szCs w:val="32"/>
          <w:lang w:eastAsia="zh-CN"/>
        </w:rPr>
        <w:t>、《铁岭市粮食供应暂行应急预案》</w:t>
      </w:r>
      <w:r>
        <w:rPr>
          <w:rFonts w:hint="eastAsia" w:ascii="仿宋" w:hAnsi="仿宋" w:eastAsia="仿宋"/>
          <w:sz w:val="32"/>
          <w:szCs w:val="32"/>
          <w:lang w:val="en-US" w:eastAsia="zh-CN"/>
        </w:rPr>
        <w:t>和《铁岭市粮食应急保障企业管理细则》有关规定</w:t>
      </w:r>
      <w:r>
        <w:rPr>
          <w:rFonts w:hint="eastAsia" w:ascii="仿宋" w:hAnsi="仿宋" w:eastAsia="仿宋"/>
          <w:sz w:val="32"/>
          <w:szCs w:val="32"/>
        </w:rPr>
        <w:t>，</w:t>
      </w:r>
      <w:r>
        <w:rPr>
          <w:rFonts w:hint="eastAsia" w:ascii="仿宋" w:hAnsi="仿宋" w:eastAsia="仿宋"/>
          <w:sz w:val="32"/>
          <w:szCs w:val="32"/>
          <w:lang w:eastAsia="zh-CN"/>
        </w:rPr>
        <w:t>甲方</w:t>
      </w:r>
      <w:r>
        <w:rPr>
          <w:rFonts w:hint="eastAsia" w:ascii="仿宋" w:hAnsi="仿宋" w:eastAsia="仿宋"/>
          <w:sz w:val="32"/>
          <w:szCs w:val="32"/>
          <w:lang w:val="en-US" w:eastAsia="zh-CN"/>
        </w:rPr>
        <w:t>确定乙方为   级粮食应急保障企业。经</w:t>
      </w:r>
      <w:r>
        <w:rPr>
          <w:rFonts w:hint="eastAsia" w:ascii="仿宋" w:hAnsi="仿宋" w:eastAsia="仿宋"/>
          <w:sz w:val="32"/>
          <w:szCs w:val="32"/>
        </w:rPr>
        <w:t>甲乙双方共同协商</w:t>
      </w:r>
      <w:r>
        <w:rPr>
          <w:rFonts w:hint="eastAsia" w:ascii="仿宋" w:hAnsi="仿宋" w:eastAsia="仿宋"/>
          <w:sz w:val="32"/>
          <w:szCs w:val="32"/>
          <w:lang w:eastAsia="zh-CN"/>
        </w:rPr>
        <w:t>，</w:t>
      </w:r>
      <w:r>
        <w:rPr>
          <w:rFonts w:hint="eastAsia" w:ascii="仿宋" w:hAnsi="仿宋" w:eastAsia="仿宋"/>
          <w:sz w:val="32"/>
          <w:szCs w:val="32"/>
          <w:lang w:val="en-US" w:eastAsia="zh-CN"/>
        </w:rPr>
        <w:t>达成如下协议：</w:t>
      </w:r>
    </w:p>
    <w:p>
      <w:pPr>
        <w:rPr>
          <w:rFonts w:hint="eastAsia" w:ascii="仿宋" w:hAnsi="仿宋" w:eastAsia="仿宋"/>
          <w:sz w:val="32"/>
          <w:szCs w:val="32"/>
          <w:lang w:val="en" w:eastAsia="zh-CN"/>
        </w:rPr>
      </w:pPr>
      <w:r>
        <w:rPr>
          <w:rFonts w:hint="eastAsia" w:ascii="仿宋" w:hAnsi="仿宋" w:eastAsia="仿宋"/>
          <w:sz w:val="32"/>
          <w:szCs w:val="32"/>
          <w:lang w:val="en" w:eastAsia="zh-CN"/>
        </w:rPr>
        <w:t xml:space="preserve">    一、甲方权利与义务</w:t>
      </w:r>
    </w:p>
    <w:p>
      <w:pPr>
        <w:rPr>
          <w:rFonts w:hint="eastAsia" w:ascii="仿宋" w:hAnsi="仿宋" w:eastAsia="仿宋"/>
          <w:sz w:val="32"/>
          <w:szCs w:val="32"/>
          <w:lang w:val="en-US" w:eastAsia="zh-CN"/>
        </w:rPr>
      </w:pPr>
      <w:r>
        <w:rPr>
          <w:rFonts w:hint="eastAsia" w:ascii="仿宋" w:hAnsi="仿宋" w:eastAsia="仿宋"/>
          <w:sz w:val="32"/>
          <w:szCs w:val="32"/>
          <w:lang w:val="en-US" w:eastAsia="zh-CN"/>
        </w:rPr>
        <w:t>（一）甲方授予乙方</w:t>
      </w:r>
      <w:r>
        <w:rPr>
          <w:rFonts w:hint="eastAsia" w:ascii="仿宋" w:hAnsi="仿宋" w:eastAsia="仿宋"/>
          <w:sz w:val="32"/>
          <w:szCs w:val="32"/>
        </w:rPr>
        <w:t>“</w:t>
      </w:r>
      <w:r>
        <w:rPr>
          <w:rFonts w:hint="eastAsia" w:ascii="仿宋" w:hAnsi="仿宋" w:eastAsia="仿宋"/>
          <w:sz w:val="32"/>
          <w:szCs w:val="32"/>
          <w:lang w:val="en-US" w:eastAsia="zh-CN"/>
        </w:rPr>
        <w:t>X（市、县）</w:t>
      </w:r>
      <w:r>
        <w:rPr>
          <w:rFonts w:hint="eastAsia" w:ascii="仿宋" w:hAnsi="仿宋" w:eastAsia="仿宋"/>
          <w:sz w:val="32"/>
          <w:szCs w:val="32"/>
        </w:rPr>
        <w:t>粮食应急保障企业”</w:t>
      </w:r>
      <w:r>
        <w:rPr>
          <w:rFonts w:hint="eastAsia" w:ascii="仿宋" w:hAnsi="仿宋" w:eastAsia="仿宋"/>
          <w:sz w:val="32"/>
          <w:szCs w:val="32"/>
          <w:lang w:val="en-US" w:eastAsia="zh-CN"/>
        </w:rPr>
        <w:t>牌匾。</w:t>
      </w:r>
    </w:p>
    <w:p>
      <w:pPr>
        <w:rPr>
          <w:rFonts w:hint="eastAsia" w:ascii="仿宋" w:hAnsi="仿宋" w:eastAsia="仿宋"/>
          <w:sz w:val="32"/>
          <w:szCs w:val="32"/>
          <w:lang w:val="en-US" w:eastAsia="zh-CN"/>
        </w:rPr>
      </w:pPr>
      <w:r>
        <w:rPr>
          <w:rFonts w:hint="eastAsia" w:ascii="仿宋" w:hAnsi="仿宋" w:eastAsia="仿宋"/>
          <w:sz w:val="32"/>
          <w:szCs w:val="32"/>
          <w:lang w:val="en-US" w:eastAsia="zh-CN"/>
        </w:rPr>
        <w:t>（二）甲方鼓励和支持乙方发展，制定扶持政策，在符合相关条件的前提下，协调有关部门在项目、资金等方面为乙方争取支持。</w:t>
      </w:r>
    </w:p>
    <w:p>
      <w:pPr>
        <w:rPr>
          <w:rFonts w:hint="eastAsia" w:ascii="仿宋" w:hAnsi="仿宋" w:eastAsia="仿宋"/>
          <w:sz w:val="32"/>
          <w:szCs w:val="32"/>
          <w:lang w:eastAsia="zh-CN"/>
        </w:rPr>
      </w:pPr>
      <w:r>
        <w:rPr>
          <w:rFonts w:hint="eastAsia" w:ascii="仿宋" w:hAnsi="仿宋" w:eastAsia="仿宋"/>
          <w:sz w:val="32"/>
          <w:szCs w:val="32"/>
          <w:lang w:val="en-US" w:eastAsia="zh-CN"/>
        </w:rPr>
        <w:t>（三）甲方对乙方日常生产经营情况和应急准备情况等进行</w:t>
      </w:r>
      <w:r>
        <w:rPr>
          <w:rFonts w:hint="eastAsia" w:ascii="仿宋" w:hAnsi="仿宋" w:eastAsia="仿宋"/>
          <w:sz w:val="32"/>
          <w:szCs w:val="32"/>
        </w:rPr>
        <w:t>定期评估和监督检查</w:t>
      </w:r>
      <w:r>
        <w:rPr>
          <w:rFonts w:hint="eastAsia" w:ascii="仿宋" w:hAnsi="仿宋" w:eastAsia="仿宋"/>
          <w:sz w:val="32"/>
          <w:szCs w:val="32"/>
          <w:lang w:eastAsia="zh-CN"/>
        </w:rPr>
        <w:t>。</w:t>
      </w:r>
    </w:p>
    <w:p>
      <w:pPr>
        <w:rPr>
          <w:rFonts w:hint="eastAsia" w:ascii="仿宋" w:hAnsi="仿宋" w:eastAsia="仿宋"/>
          <w:sz w:val="32"/>
          <w:szCs w:val="32"/>
          <w:lang w:eastAsia="zh-CN"/>
        </w:rPr>
      </w:pPr>
      <w:r>
        <w:rPr>
          <w:rFonts w:hint="eastAsia" w:ascii="仿宋" w:hAnsi="仿宋" w:eastAsia="仿宋"/>
          <w:sz w:val="32"/>
          <w:szCs w:val="32"/>
          <w:lang w:eastAsia="zh-CN"/>
        </w:rPr>
        <w:t>（四）在执行应急保障任务时，甲方应积极协调有关部门，为乙方解决粮食</w:t>
      </w:r>
      <w:r>
        <w:rPr>
          <w:rFonts w:hint="eastAsia" w:ascii="仿宋" w:hAnsi="仿宋" w:eastAsia="仿宋"/>
          <w:sz w:val="32"/>
          <w:szCs w:val="32"/>
          <w:lang w:val="en-US" w:eastAsia="zh-CN"/>
        </w:rPr>
        <w:t>应急储运、加工、配送、供应过程中的困难。</w:t>
      </w:r>
    </w:p>
    <w:p>
      <w:pPr>
        <w:rPr>
          <w:rFonts w:hint="eastAsia" w:ascii="仿宋" w:hAnsi="仿宋" w:eastAsia="仿宋"/>
          <w:sz w:val="32"/>
          <w:szCs w:val="32"/>
          <w:lang w:eastAsia="zh-CN"/>
        </w:rPr>
      </w:pPr>
      <w:r>
        <w:rPr>
          <w:rFonts w:hint="eastAsia" w:ascii="仿宋" w:hAnsi="仿宋" w:eastAsia="仿宋"/>
          <w:sz w:val="32"/>
          <w:szCs w:val="32"/>
          <w:lang w:eastAsia="zh-CN"/>
        </w:rPr>
        <w:t>（五</w:t>
      </w:r>
      <w:r>
        <w:rPr>
          <w:rFonts w:hint="eastAsia" w:ascii="仿宋" w:hAnsi="仿宋" w:eastAsia="仿宋"/>
          <w:sz w:val="32"/>
          <w:szCs w:val="32"/>
          <w:lang w:val="en-US" w:eastAsia="zh-CN"/>
        </w:rPr>
        <w:t>）</w:t>
      </w:r>
      <w:r>
        <w:rPr>
          <w:rFonts w:hint="eastAsia" w:ascii="仿宋" w:hAnsi="仿宋" w:eastAsia="仿宋"/>
          <w:sz w:val="32"/>
          <w:szCs w:val="32"/>
          <w:lang w:eastAsia="zh-CN"/>
        </w:rPr>
        <w:t>因执行粮食应急处置措施给乙方造成损失的，甲方会同有关部门按照有关规定对乙方给予补偿。</w:t>
      </w:r>
    </w:p>
    <w:p>
      <w:pPr>
        <w:rPr>
          <w:rFonts w:hint="eastAsia" w:ascii="仿宋" w:hAnsi="仿宋" w:eastAsia="仿宋"/>
          <w:sz w:val="32"/>
          <w:szCs w:val="32"/>
          <w:lang w:val="en" w:eastAsia="zh-CN"/>
        </w:rPr>
      </w:pPr>
      <w:r>
        <w:rPr>
          <w:rFonts w:hint="eastAsia" w:ascii="仿宋" w:hAnsi="仿宋" w:eastAsia="仿宋"/>
          <w:sz w:val="32"/>
          <w:szCs w:val="32"/>
          <w:lang w:val="en" w:eastAsia="zh-CN"/>
        </w:rPr>
        <w:t xml:space="preserve">    二、乙方权利与义务</w:t>
      </w:r>
    </w:p>
    <w:p>
      <w:pPr>
        <w:rPr>
          <w:rFonts w:hint="eastAsia" w:ascii="仿宋" w:hAnsi="仿宋" w:eastAsia="仿宋"/>
          <w:sz w:val="32"/>
          <w:szCs w:val="32"/>
          <w:lang w:eastAsia="zh-CN"/>
        </w:rPr>
      </w:pPr>
      <w:r>
        <w:rPr>
          <w:rFonts w:hint="eastAsia" w:ascii="仿宋" w:hAnsi="仿宋" w:eastAsia="仿宋"/>
          <w:sz w:val="32"/>
          <w:szCs w:val="32"/>
          <w:lang w:val="en-US" w:eastAsia="zh-CN"/>
        </w:rPr>
        <w:t>（一）乙方按照“平时自营，急时应急”的原则，做好人员、物资以及制度建设等各项应急准备，出现</w:t>
      </w:r>
      <w:r>
        <w:rPr>
          <w:rFonts w:hint="eastAsia" w:ascii="仿宋" w:hAnsi="仿宋" w:eastAsia="仿宋"/>
          <w:sz w:val="32"/>
          <w:szCs w:val="32"/>
          <w:lang w:eastAsia="zh-CN"/>
        </w:rPr>
        <w:t>生产经营变动等重大情况应及时通报甲方，配合甲方</w:t>
      </w:r>
      <w:r>
        <w:rPr>
          <w:rFonts w:hint="eastAsia" w:ascii="仿宋" w:hAnsi="仿宋" w:eastAsia="仿宋"/>
          <w:sz w:val="32"/>
          <w:szCs w:val="32"/>
          <w:lang w:val="en-US" w:eastAsia="zh-CN"/>
        </w:rPr>
        <w:t>对自身日常生产经营情况和应急准备情况等内容进行调研、</w:t>
      </w:r>
      <w:r>
        <w:rPr>
          <w:rFonts w:hint="eastAsia" w:ascii="仿宋" w:hAnsi="仿宋" w:eastAsia="仿宋"/>
          <w:sz w:val="32"/>
          <w:szCs w:val="32"/>
        </w:rPr>
        <w:t>定期评估和监督检查</w:t>
      </w:r>
      <w:r>
        <w:rPr>
          <w:rFonts w:hint="eastAsia" w:ascii="仿宋" w:hAnsi="仿宋" w:eastAsia="仿宋"/>
          <w:sz w:val="32"/>
          <w:szCs w:val="32"/>
          <w:lang w:eastAsia="zh-CN"/>
        </w:rPr>
        <w:t>。</w:t>
      </w:r>
    </w:p>
    <w:p>
      <w:pPr>
        <w:rPr>
          <w:rFonts w:hint="eastAsia" w:ascii="仿宋" w:hAnsi="仿宋" w:eastAsia="仿宋"/>
          <w:sz w:val="32"/>
          <w:szCs w:val="32"/>
          <w:lang w:eastAsia="zh-CN"/>
        </w:rPr>
      </w:pPr>
      <w:r>
        <w:rPr>
          <w:rFonts w:hint="eastAsia" w:ascii="仿宋" w:hAnsi="仿宋" w:eastAsia="仿宋"/>
          <w:sz w:val="32"/>
          <w:szCs w:val="32"/>
          <w:lang w:val="en" w:eastAsia="zh-CN"/>
        </w:rPr>
        <w:t>（二）乙方应按照甲方要求及时报送粮食生产、加工、销售、库存等信息数据</w:t>
      </w:r>
      <w:r>
        <w:rPr>
          <w:rFonts w:hint="eastAsia" w:ascii="仿宋" w:hAnsi="仿宋" w:eastAsia="仿宋"/>
          <w:sz w:val="32"/>
          <w:szCs w:val="32"/>
          <w:lang w:val="en-US" w:eastAsia="zh-CN"/>
        </w:rPr>
        <w:t>。</w:t>
      </w:r>
    </w:p>
    <w:p>
      <w:pPr>
        <w:rPr>
          <w:rFonts w:hint="eastAsia" w:ascii="仿宋" w:hAnsi="仿宋" w:eastAsia="仿宋"/>
          <w:sz w:val="32"/>
          <w:szCs w:val="32"/>
        </w:rPr>
      </w:pPr>
      <w:r>
        <w:rPr>
          <w:rFonts w:hint="eastAsia" w:ascii="仿宋" w:hAnsi="仿宋" w:eastAsia="仿宋"/>
          <w:sz w:val="32"/>
          <w:szCs w:val="32"/>
          <w:lang w:val="en-US" w:eastAsia="zh-CN"/>
        </w:rPr>
        <w:t>（三）</w:t>
      </w:r>
      <w:r>
        <w:rPr>
          <w:rFonts w:hint="eastAsia" w:ascii="仿宋" w:hAnsi="仿宋" w:eastAsia="仿宋"/>
          <w:sz w:val="32"/>
          <w:szCs w:val="32"/>
        </w:rPr>
        <w:t>乙方</w:t>
      </w:r>
      <w:r>
        <w:rPr>
          <w:rFonts w:hint="eastAsia" w:ascii="仿宋" w:hAnsi="仿宋" w:eastAsia="仿宋"/>
          <w:sz w:val="32"/>
          <w:szCs w:val="32"/>
          <w:lang w:eastAsia="zh-CN"/>
        </w:rPr>
        <w:t>在生产经营过程中，</w:t>
      </w:r>
      <w:r>
        <w:rPr>
          <w:rFonts w:hint="eastAsia" w:ascii="仿宋" w:hAnsi="仿宋" w:eastAsia="仿宋"/>
          <w:sz w:val="32"/>
          <w:szCs w:val="32"/>
        </w:rPr>
        <w:t>应严格执行国家有关法律、法规和政策规定，</w:t>
      </w:r>
      <w:r>
        <w:rPr>
          <w:rFonts w:hint="eastAsia" w:ascii="仿宋" w:hAnsi="仿宋" w:eastAsia="仿宋"/>
          <w:sz w:val="32"/>
          <w:szCs w:val="32"/>
          <w:lang w:eastAsia="zh-CN"/>
        </w:rPr>
        <w:t>不得哄抬物价、扰乱市场秩序，</w:t>
      </w:r>
      <w:r>
        <w:rPr>
          <w:rFonts w:hint="eastAsia" w:ascii="仿宋" w:hAnsi="仿宋" w:eastAsia="仿宋"/>
          <w:sz w:val="32"/>
          <w:szCs w:val="32"/>
        </w:rPr>
        <w:t>生产经营的粮油产品质量指标和卫生指标应符合国家标准、行业标准。储运粮油时，应当严格执行国家粮食运输技术规范，不得使用被污染的运输工具或包装材料运输粮食，不得与有毒有害物质混装运输。</w:t>
      </w:r>
    </w:p>
    <w:p>
      <w:pPr>
        <w:rPr>
          <w:rFonts w:hint="eastAsia" w:ascii="仿宋" w:hAnsi="仿宋" w:eastAsia="仿宋"/>
          <w:sz w:val="32"/>
          <w:szCs w:val="32"/>
          <w:lang w:eastAsia="zh-CN"/>
        </w:rPr>
      </w:pPr>
      <w:r>
        <w:rPr>
          <w:rFonts w:hint="eastAsia" w:ascii="仿宋" w:hAnsi="仿宋" w:eastAsia="仿宋"/>
          <w:sz w:val="32"/>
          <w:szCs w:val="32"/>
          <w:lang w:eastAsia="zh-CN"/>
        </w:rPr>
        <w:t>（四）乙方应积极履行社会责任，按照《粮食流通管理条例》和铁岭市人民政府、</w:t>
      </w:r>
      <w:r>
        <w:rPr>
          <w:rFonts w:hint="eastAsia" w:ascii="仿宋" w:hAnsi="仿宋" w:eastAsia="仿宋"/>
          <w:sz w:val="32"/>
          <w:szCs w:val="32"/>
          <w:lang w:val="en-US" w:eastAsia="zh-CN"/>
        </w:rPr>
        <w:t>县（市）区人民政府</w:t>
      </w:r>
      <w:r>
        <w:rPr>
          <w:rFonts w:hint="eastAsia" w:ascii="仿宋" w:hAnsi="仿宋" w:eastAsia="仿宋"/>
          <w:sz w:val="32"/>
          <w:szCs w:val="32"/>
          <w:lang w:eastAsia="zh-CN"/>
        </w:rPr>
        <w:t>的规定，执行特定情况下的粮食库存量，加工类企业要建立社会责任储备。</w:t>
      </w:r>
    </w:p>
    <w:p>
      <w:pPr>
        <w:rPr>
          <w:rFonts w:hint="eastAsia" w:ascii="仿宋" w:hAnsi="仿宋" w:eastAsia="仿宋"/>
          <w:sz w:val="32"/>
          <w:szCs w:val="32"/>
          <w:lang w:eastAsia="zh-CN"/>
        </w:rPr>
      </w:pPr>
      <w:r>
        <w:rPr>
          <w:rFonts w:hint="eastAsia" w:ascii="仿宋" w:hAnsi="仿宋" w:eastAsia="仿宋"/>
          <w:sz w:val="32"/>
          <w:szCs w:val="32"/>
          <w:lang w:eastAsia="zh-CN"/>
        </w:rPr>
        <w:t>（五）</w:t>
      </w:r>
      <w:r>
        <w:rPr>
          <w:rFonts w:hint="eastAsia" w:ascii="仿宋" w:hAnsi="仿宋" w:eastAsia="仿宋"/>
          <w:sz w:val="32"/>
          <w:szCs w:val="32"/>
          <w:lang w:val="en-US" w:eastAsia="zh-CN"/>
        </w:rPr>
        <w:t>进入粮食应急状态或《铁岭市粮食供应暂行应急预案》、《X县（市）区粮食应急预案》启动后，</w:t>
      </w:r>
      <w:r>
        <w:rPr>
          <w:rFonts w:hint="eastAsia" w:ascii="仿宋" w:hAnsi="仿宋" w:eastAsia="仿宋"/>
          <w:sz w:val="32"/>
          <w:szCs w:val="32"/>
        </w:rPr>
        <w:t>乙方</w:t>
      </w:r>
      <w:r>
        <w:rPr>
          <w:rFonts w:hint="eastAsia" w:ascii="仿宋" w:hAnsi="仿宋" w:eastAsia="仿宋"/>
          <w:sz w:val="32"/>
          <w:szCs w:val="32"/>
          <w:lang w:eastAsia="zh-CN"/>
        </w:rPr>
        <w:t>应</w:t>
      </w:r>
      <w:r>
        <w:rPr>
          <w:rFonts w:hint="eastAsia" w:ascii="仿宋" w:hAnsi="仿宋" w:eastAsia="仿宋"/>
          <w:sz w:val="32"/>
          <w:szCs w:val="32"/>
          <w:lang w:val="en-US" w:eastAsia="zh-CN"/>
        </w:rPr>
        <w:t>服从甲方统一安排和调度，</w:t>
      </w:r>
      <w:r>
        <w:rPr>
          <w:rFonts w:hint="eastAsia" w:ascii="仿宋" w:hAnsi="仿宋" w:eastAsia="仿宋"/>
          <w:sz w:val="32"/>
          <w:szCs w:val="32"/>
        </w:rPr>
        <w:t>服从服务粮食宏观调控</w:t>
      </w:r>
      <w:r>
        <w:rPr>
          <w:rFonts w:hint="eastAsia" w:ascii="仿宋" w:hAnsi="仿宋" w:eastAsia="仿宋"/>
          <w:sz w:val="32"/>
          <w:szCs w:val="32"/>
          <w:lang w:eastAsia="zh-CN"/>
        </w:rPr>
        <w:t>和应急保供</w:t>
      </w:r>
      <w:r>
        <w:rPr>
          <w:rFonts w:hint="eastAsia" w:ascii="仿宋" w:hAnsi="仿宋" w:eastAsia="仿宋"/>
          <w:sz w:val="32"/>
          <w:szCs w:val="32"/>
        </w:rPr>
        <w:t>，自觉履行企业</w:t>
      </w:r>
      <w:r>
        <w:rPr>
          <w:rFonts w:hint="eastAsia" w:ascii="仿宋" w:hAnsi="仿宋" w:eastAsia="仿宋"/>
          <w:sz w:val="32"/>
          <w:szCs w:val="32"/>
          <w:lang w:eastAsia="zh-CN"/>
        </w:rPr>
        <w:t>社会责任</w:t>
      </w:r>
      <w:r>
        <w:rPr>
          <w:rFonts w:hint="eastAsia" w:ascii="仿宋" w:hAnsi="仿宋" w:eastAsia="仿宋"/>
          <w:sz w:val="32"/>
          <w:szCs w:val="32"/>
        </w:rPr>
        <w:t>，按照甲方下达的</w:t>
      </w:r>
      <w:r>
        <w:rPr>
          <w:rFonts w:hint="eastAsia" w:ascii="仿宋" w:hAnsi="仿宋" w:eastAsia="仿宋"/>
          <w:sz w:val="32"/>
          <w:szCs w:val="32"/>
          <w:lang w:eastAsia="zh-CN"/>
        </w:rPr>
        <w:t>指令及时做好粮食</w:t>
      </w:r>
      <w:r>
        <w:rPr>
          <w:rFonts w:hint="eastAsia" w:ascii="仿宋" w:hAnsi="仿宋" w:eastAsia="仿宋"/>
          <w:sz w:val="32"/>
          <w:szCs w:val="32"/>
          <w:lang w:val="en-US" w:eastAsia="zh-CN"/>
        </w:rPr>
        <w:t>应急储运、加工、配送、供应</w:t>
      </w:r>
      <w:r>
        <w:rPr>
          <w:rFonts w:hint="eastAsia" w:ascii="仿宋" w:hAnsi="仿宋" w:eastAsia="仿宋"/>
          <w:sz w:val="32"/>
          <w:szCs w:val="32"/>
        </w:rPr>
        <w:t>，保质保量完成</w:t>
      </w:r>
      <w:r>
        <w:rPr>
          <w:rFonts w:hint="eastAsia" w:ascii="仿宋" w:hAnsi="仿宋" w:eastAsia="仿宋"/>
          <w:sz w:val="32"/>
          <w:szCs w:val="32"/>
          <w:lang w:eastAsia="zh-CN"/>
        </w:rPr>
        <w:t>粮食</w:t>
      </w:r>
      <w:r>
        <w:rPr>
          <w:rFonts w:hint="eastAsia" w:ascii="仿宋" w:hAnsi="仿宋" w:eastAsia="仿宋"/>
          <w:sz w:val="32"/>
          <w:szCs w:val="32"/>
          <w:lang w:val="en-US" w:eastAsia="zh-CN"/>
        </w:rPr>
        <w:t>应急</w:t>
      </w:r>
      <w:r>
        <w:rPr>
          <w:rFonts w:hint="eastAsia" w:ascii="仿宋" w:hAnsi="仿宋" w:eastAsia="仿宋"/>
          <w:sz w:val="32"/>
          <w:szCs w:val="32"/>
        </w:rPr>
        <w:t>保障任务。</w:t>
      </w:r>
    </w:p>
    <w:p>
      <w:pPr>
        <w:rPr>
          <w:rFonts w:hint="eastAsia" w:ascii="仿宋" w:hAnsi="仿宋" w:eastAsia="仿宋"/>
          <w:sz w:val="32"/>
          <w:szCs w:val="32"/>
          <w:lang w:val="en" w:eastAsia="zh-CN"/>
        </w:rPr>
      </w:pPr>
      <w:r>
        <w:rPr>
          <w:rFonts w:hint="eastAsia" w:ascii="仿宋" w:hAnsi="仿宋" w:eastAsia="仿宋"/>
          <w:sz w:val="32"/>
          <w:szCs w:val="32"/>
          <w:lang w:val="en" w:eastAsia="zh-CN"/>
        </w:rPr>
        <w:t xml:space="preserve">    三、协议的终止</w:t>
      </w:r>
    </w:p>
    <w:p>
      <w:pPr>
        <w:rPr>
          <w:rFonts w:hint="eastAsia" w:ascii="仿宋" w:hAnsi="仿宋" w:eastAsia="仿宋"/>
          <w:sz w:val="32"/>
          <w:szCs w:val="32"/>
          <w:lang w:eastAsia="zh-CN"/>
        </w:rPr>
      </w:pPr>
      <w:r>
        <w:rPr>
          <w:rFonts w:hint="eastAsia" w:ascii="仿宋" w:hAnsi="仿宋" w:eastAsia="仿宋"/>
          <w:sz w:val="32"/>
          <w:szCs w:val="32"/>
        </w:rPr>
        <w:t>乙方有以下情况之一，甲方有权终止</w:t>
      </w:r>
      <w:r>
        <w:rPr>
          <w:rFonts w:hint="eastAsia" w:ascii="仿宋" w:hAnsi="仿宋" w:eastAsia="仿宋"/>
          <w:sz w:val="32"/>
          <w:szCs w:val="32"/>
          <w:lang w:eastAsia="zh-CN"/>
        </w:rPr>
        <w:t>与</w:t>
      </w:r>
      <w:r>
        <w:rPr>
          <w:rFonts w:hint="eastAsia" w:ascii="仿宋" w:hAnsi="仿宋" w:eastAsia="仿宋"/>
          <w:sz w:val="32"/>
          <w:szCs w:val="32"/>
        </w:rPr>
        <w:t>乙方</w:t>
      </w:r>
      <w:r>
        <w:rPr>
          <w:rFonts w:hint="eastAsia" w:ascii="仿宋" w:hAnsi="仿宋" w:eastAsia="仿宋"/>
          <w:sz w:val="32"/>
          <w:szCs w:val="32"/>
          <w:lang w:eastAsia="zh-CN"/>
        </w:rPr>
        <w:t>的</w:t>
      </w:r>
      <w:r>
        <w:rPr>
          <w:rFonts w:hint="eastAsia" w:ascii="仿宋" w:hAnsi="仿宋" w:eastAsia="仿宋"/>
          <w:sz w:val="32"/>
          <w:szCs w:val="32"/>
        </w:rPr>
        <w:t>粮食应急保障协议，收回牌匾。</w:t>
      </w:r>
    </w:p>
    <w:p>
      <w:pPr>
        <w:rPr>
          <w:rFonts w:hint="eastAsia" w:ascii="仿宋" w:hAnsi="仿宋" w:eastAsia="仿宋"/>
          <w:sz w:val="32"/>
          <w:szCs w:val="32"/>
        </w:rPr>
      </w:pPr>
      <w:r>
        <w:rPr>
          <w:rFonts w:hint="eastAsia" w:ascii="仿宋" w:hAnsi="仿宋" w:eastAsia="仿宋"/>
          <w:sz w:val="32"/>
          <w:szCs w:val="32"/>
        </w:rPr>
        <w:t>（一）</w:t>
      </w:r>
      <w:r>
        <w:rPr>
          <w:rFonts w:hint="eastAsia" w:ascii="仿宋" w:hAnsi="仿宋" w:eastAsia="仿宋"/>
          <w:sz w:val="32"/>
          <w:szCs w:val="32"/>
          <w:lang w:eastAsia="zh-CN"/>
        </w:rPr>
        <w:t>在甲方</w:t>
      </w:r>
      <w:r>
        <w:rPr>
          <w:rFonts w:hint="eastAsia" w:ascii="仿宋" w:hAnsi="仿宋" w:eastAsia="仿宋"/>
          <w:sz w:val="32"/>
          <w:szCs w:val="32"/>
        </w:rPr>
        <w:t>定期评估和监督检查中发现落实应急保障责任义务不到位、企业资质和应急能力明显不符合有关条件和标准</w:t>
      </w:r>
      <w:r>
        <w:rPr>
          <w:rFonts w:hint="eastAsia" w:ascii="仿宋" w:hAnsi="仿宋" w:eastAsia="仿宋"/>
          <w:sz w:val="32"/>
          <w:szCs w:val="32"/>
          <w:lang w:eastAsia="zh-CN"/>
        </w:rPr>
        <w:t>，责令限期整改后整改不到位的</w:t>
      </w:r>
      <w:r>
        <w:rPr>
          <w:rFonts w:hint="eastAsia" w:ascii="仿宋" w:hAnsi="仿宋" w:eastAsia="仿宋"/>
          <w:sz w:val="32"/>
          <w:szCs w:val="32"/>
        </w:rPr>
        <w:t>；</w:t>
      </w:r>
    </w:p>
    <w:p>
      <w:pPr>
        <w:rPr>
          <w:rFonts w:hint="eastAsia" w:ascii="仿宋" w:hAnsi="仿宋" w:eastAsia="仿宋"/>
          <w:sz w:val="32"/>
          <w:szCs w:val="32"/>
        </w:rPr>
      </w:pPr>
      <w:r>
        <w:rPr>
          <w:rFonts w:hint="eastAsia" w:ascii="仿宋" w:hAnsi="仿宋" w:eastAsia="仿宋"/>
          <w:sz w:val="32"/>
          <w:szCs w:val="32"/>
        </w:rPr>
        <w:t>（二）通过隐瞒情况、提供虚假材料，或以欺骗、贿赂等不正当手段确定为粮食应急保障企业的；</w:t>
      </w:r>
    </w:p>
    <w:p>
      <w:pPr>
        <w:rPr>
          <w:rFonts w:hint="eastAsia" w:ascii="仿宋" w:hAnsi="仿宋" w:eastAsia="仿宋"/>
          <w:sz w:val="32"/>
          <w:szCs w:val="32"/>
        </w:rPr>
      </w:pPr>
      <w:r>
        <w:rPr>
          <w:rFonts w:hint="eastAsia" w:ascii="仿宋" w:hAnsi="仿宋" w:eastAsia="仿宋"/>
          <w:sz w:val="32"/>
          <w:szCs w:val="32"/>
        </w:rPr>
        <w:t>（三）发生或存在重大经营风险，影响企业正常经营的；</w:t>
      </w:r>
    </w:p>
    <w:p>
      <w:pPr>
        <w:rPr>
          <w:rFonts w:hint="eastAsia" w:ascii="仿宋" w:hAnsi="仿宋" w:eastAsia="仿宋"/>
          <w:sz w:val="32"/>
          <w:szCs w:val="32"/>
        </w:rPr>
      </w:pPr>
      <w:r>
        <w:rPr>
          <w:rFonts w:hint="eastAsia" w:ascii="仿宋" w:hAnsi="仿宋" w:eastAsia="仿宋"/>
          <w:sz w:val="32"/>
          <w:szCs w:val="32"/>
        </w:rPr>
        <w:t>（四）违反</w:t>
      </w:r>
      <w:r>
        <w:rPr>
          <w:rFonts w:hint="eastAsia" w:ascii="仿宋" w:hAnsi="仿宋" w:eastAsia="仿宋"/>
          <w:sz w:val="32"/>
          <w:szCs w:val="32"/>
          <w:lang w:eastAsia="zh-CN"/>
        </w:rPr>
        <w:t>粮食</w:t>
      </w:r>
      <w:r>
        <w:rPr>
          <w:rFonts w:hint="eastAsia" w:ascii="仿宋" w:hAnsi="仿宋" w:eastAsia="仿宋"/>
          <w:sz w:val="32"/>
          <w:szCs w:val="32"/>
        </w:rPr>
        <w:t>生产、流通等相关规定的；</w:t>
      </w:r>
    </w:p>
    <w:p>
      <w:pPr>
        <w:rPr>
          <w:rFonts w:hint="eastAsia" w:ascii="仿宋" w:hAnsi="仿宋" w:eastAsia="仿宋"/>
          <w:sz w:val="32"/>
          <w:szCs w:val="32"/>
        </w:rPr>
      </w:pPr>
      <w:r>
        <w:rPr>
          <w:rFonts w:hint="eastAsia" w:ascii="仿宋" w:hAnsi="仿宋" w:eastAsia="仿宋"/>
          <w:sz w:val="32"/>
          <w:szCs w:val="32"/>
        </w:rPr>
        <w:t>（五）造成生产安全事故或存在重大生产安全隐患的；</w:t>
      </w:r>
    </w:p>
    <w:p>
      <w:pPr>
        <w:rPr>
          <w:rFonts w:hint="eastAsia" w:ascii="仿宋" w:hAnsi="仿宋" w:eastAsia="仿宋"/>
          <w:sz w:val="32"/>
          <w:szCs w:val="32"/>
        </w:rPr>
      </w:pPr>
      <w:r>
        <w:rPr>
          <w:rFonts w:hint="eastAsia" w:ascii="仿宋" w:hAnsi="仿宋" w:eastAsia="仿宋"/>
          <w:sz w:val="32"/>
          <w:szCs w:val="32"/>
        </w:rPr>
        <w:t>（六）在粮食应急保供中不服从有关部门的统一安排调度，拒不执行应急保供任务，或执行不力，落实任务不到位的；</w:t>
      </w:r>
    </w:p>
    <w:p>
      <w:pPr>
        <w:rPr>
          <w:rFonts w:hint="eastAsia" w:ascii="仿宋" w:hAnsi="仿宋" w:eastAsia="仿宋"/>
          <w:sz w:val="32"/>
          <w:szCs w:val="32"/>
        </w:rPr>
      </w:pPr>
      <w:r>
        <w:rPr>
          <w:rFonts w:hint="eastAsia" w:ascii="仿宋" w:hAnsi="仿宋" w:eastAsia="仿宋"/>
          <w:sz w:val="32"/>
          <w:szCs w:val="32"/>
        </w:rPr>
        <w:t>（七）对粮食应急保供工作造成危害的其他行为的。</w:t>
      </w:r>
    </w:p>
    <w:p>
      <w:pPr>
        <w:rPr>
          <w:rFonts w:hint="eastAsia" w:ascii="仿宋" w:hAnsi="仿宋" w:eastAsia="仿宋"/>
          <w:sz w:val="32"/>
          <w:szCs w:val="32"/>
          <w:lang w:eastAsia="zh-CN"/>
        </w:rPr>
      </w:pPr>
      <w:r>
        <w:rPr>
          <w:rFonts w:hint="eastAsia" w:ascii="仿宋" w:hAnsi="仿宋" w:eastAsia="仿宋"/>
          <w:sz w:val="32"/>
          <w:szCs w:val="32"/>
          <w:lang w:eastAsia="zh-CN"/>
        </w:rPr>
        <w:t>以上情形，涉及违反相关法律法规的，移交有关部门处理。</w:t>
      </w:r>
    </w:p>
    <w:p>
      <w:pPr>
        <w:rPr>
          <w:rFonts w:hint="eastAsia" w:ascii="仿宋" w:hAnsi="仿宋" w:eastAsia="仿宋"/>
          <w:sz w:val="32"/>
          <w:szCs w:val="32"/>
          <w:lang w:val="en"/>
        </w:rPr>
      </w:pPr>
      <w:r>
        <w:rPr>
          <w:rFonts w:hint="eastAsia" w:ascii="仿宋" w:hAnsi="仿宋" w:eastAsia="仿宋"/>
          <w:sz w:val="32"/>
          <w:szCs w:val="32"/>
          <w:lang w:val="en" w:eastAsia="zh-CN"/>
        </w:rPr>
        <w:t>四、</w:t>
      </w:r>
      <w:r>
        <w:rPr>
          <w:rFonts w:hint="eastAsia" w:ascii="仿宋" w:hAnsi="仿宋" w:eastAsia="仿宋"/>
          <w:sz w:val="32"/>
          <w:szCs w:val="32"/>
          <w:lang w:val="en"/>
        </w:rPr>
        <w:t>补充、修改和变更</w:t>
      </w:r>
    </w:p>
    <w:p>
      <w:pPr>
        <w:rPr>
          <w:rFonts w:hint="eastAsia" w:ascii="仿宋" w:hAnsi="仿宋" w:eastAsia="仿宋"/>
          <w:sz w:val="32"/>
          <w:szCs w:val="32"/>
          <w:lang w:val="en-US" w:eastAsia="zh-CN"/>
        </w:rPr>
      </w:pPr>
      <w:r>
        <w:rPr>
          <w:rFonts w:hint="eastAsia" w:ascii="仿宋" w:hAnsi="仿宋" w:eastAsia="仿宋"/>
          <w:sz w:val="32"/>
          <w:szCs w:val="32"/>
          <w:lang w:val="en-US" w:eastAsia="zh-CN"/>
        </w:rPr>
        <w:t>（一）甲乙双方协商一致，可以对本协议进行补充、修改或变更。</w:t>
      </w:r>
    </w:p>
    <w:p>
      <w:pPr>
        <w:rPr>
          <w:rFonts w:hint="eastAsia" w:ascii="仿宋" w:hAnsi="仿宋" w:eastAsia="仿宋"/>
          <w:sz w:val="32"/>
          <w:szCs w:val="32"/>
          <w:lang w:eastAsia="zh-CN"/>
        </w:rPr>
      </w:pPr>
      <w:r>
        <w:rPr>
          <w:rFonts w:hint="eastAsia" w:ascii="仿宋" w:hAnsi="仿宋" w:eastAsia="仿宋"/>
          <w:sz w:val="32"/>
          <w:szCs w:val="32"/>
          <w:lang w:val="en-US" w:eastAsia="zh-CN"/>
        </w:rPr>
        <w:t>（二）对本协议的补充、修改或变更必须以书面形式进行。补充、修改或变更的协议的签署及生效方式与本协议的签署及生效方式相同。</w:t>
      </w:r>
    </w:p>
    <w:p>
      <w:pPr>
        <w:rPr>
          <w:rFonts w:hint="eastAsia" w:ascii="仿宋" w:hAnsi="仿宋" w:eastAsia="仿宋"/>
          <w:sz w:val="32"/>
          <w:szCs w:val="32"/>
          <w:lang w:eastAsia="zh-CN"/>
        </w:rPr>
      </w:pPr>
      <w:r>
        <w:rPr>
          <w:rFonts w:hint="eastAsia" w:ascii="仿宋" w:hAnsi="仿宋" w:eastAsia="仿宋"/>
          <w:sz w:val="32"/>
          <w:szCs w:val="32"/>
          <w:lang w:eastAsia="zh-CN"/>
        </w:rPr>
        <w:t>（三）甲乙双方可协商补充、修改和变更条款并签署补充协议，所补充协议与本协议具有同等法律效力</w:t>
      </w:r>
      <w:r>
        <w:rPr>
          <w:rFonts w:hint="eastAsia" w:ascii="仿宋" w:hAnsi="仿宋" w:eastAsia="仿宋"/>
          <w:sz w:val="32"/>
          <w:szCs w:val="32"/>
        </w:rPr>
        <w:t>。</w:t>
      </w:r>
    </w:p>
    <w:p>
      <w:pPr>
        <w:rPr>
          <w:rFonts w:hint="eastAsia" w:ascii="仿宋" w:hAnsi="仿宋" w:eastAsia="仿宋"/>
          <w:sz w:val="32"/>
          <w:szCs w:val="32"/>
          <w:lang w:val="en" w:eastAsia="zh-CN"/>
        </w:rPr>
      </w:pPr>
      <w:r>
        <w:rPr>
          <w:rFonts w:hint="eastAsia" w:ascii="仿宋" w:hAnsi="仿宋" w:eastAsia="仿宋"/>
          <w:sz w:val="32"/>
          <w:szCs w:val="32"/>
          <w:lang w:val="en" w:eastAsia="zh-CN"/>
        </w:rPr>
        <w:t>五、协议的生效</w:t>
      </w:r>
    </w:p>
    <w:p>
      <w:pPr>
        <w:rPr>
          <w:rFonts w:hint="eastAsia" w:ascii="仿宋" w:hAnsi="仿宋" w:eastAsia="仿宋"/>
          <w:sz w:val="32"/>
          <w:szCs w:val="32"/>
        </w:rPr>
      </w:pPr>
      <w:r>
        <w:rPr>
          <w:rFonts w:hint="eastAsia" w:ascii="仿宋" w:hAnsi="仿宋" w:eastAsia="仿宋"/>
          <w:sz w:val="32"/>
          <w:szCs w:val="32"/>
          <w:lang w:val="en-US" w:eastAsia="zh-CN"/>
        </w:rPr>
        <w:t>（一）</w:t>
      </w:r>
      <w:r>
        <w:rPr>
          <w:rFonts w:hint="eastAsia" w:ascii="仿宋" w:hAnsi="仿宋" w:eastAsia="仿宋"/>
          <w:sz w:val="32"/>
          <w:szCs w:val="32"/>
        </w:rPr>
        <w:t>本</w:t>
      </w:r>
      <w:r>
        <w:rPr>
          <w:rFonts w:hint="eastAsia" w:ascii="仿宋" w:hAnsi="仿宋" w:eastAsia="仿宋"/>
          <w:sz w:val="32"/>
          <w:szCs w:val="32"/>
          <w:lang w:eastAsia="zh-CN"/>
        </w:rPr>
        <w:t>协议</w:t>
      </w:r>
      <w:r>
        <w:rPr>
          <w:rFonts w:hint="eastAsia" w:ascii="仿宋" w:hAnsi="仿宋" w:eastAsia="仿宋"/>
          <w:sz w:val="32"/>
          <w:szCs w:val="32"/>
        </w:rPr>
        <w:t>经双方法定代表人或授权代表签字并加盖单位公章后生效。</w:t>
      </w:r>
    </w:p>
    <w:p>
      <w:pPr>
        <w:rPr>
          <w:rFonts w:hint="eastAsia" w:ascii="仿宋" w:hAnsi="仿宋" w:eastAsia="仿宋"/>
          <w:sz w:val="32"/>
          <w:szCs w:val="32"/>
        </w:rPr>
      </w:pPr>
      <w:r>
        <w:rPr>
          <w:rFonts w:hint="eastAsia" w:ascii="仿宋" w:hAnsi="仿宋" w:eastAsia="仿宋"/>
          <w:sz w:val="32"/>
          <w:szCs w:val="32"/>
          <w:lang w:eastAsia="zh-CN"/>
        </w:rPr>
        <w:t>（二）</w:t>
      </w:r>
      <w:r>
        <w:rPr>
          <w:rFonts w:hint="eastAsia" w:ascii="仿宋" w:hAnsi="仿宋" w:eastAsia="仿宋"/>
          <w:sz w:val="32"/>
          <w:szCs w:val="32"/>
        </w:rPr>
        <w:t>本协议一式</w:t>
      </w:r>
      <w:r>
        <w:rPr>
          <w:rFonts w:hint="eastAsia" w:ascii="仿宋" w:hAnsi="仿宋" w:eastAsia="仿宋"/>
          <w:sz w:val="32"/>
          <w:szCs w:val="32"/>
          <w:lang w:eastAsia="zh-CN"/>
        </w:rPr>
        <w:t>肆</w:t>
      </w:r>
      <w:r>
        <w:rPr>
          <w:rFonts w:hint="eastAsia" w:ascii="仿宋" w:hAnsi="仿宋" w:eastAsia="仿宋"/>
          <w:sz w:val="32"/>
          <w:szCs w:val="32"/>
        </w:rPr>
        <w:t>份，甲、乙双方各</w:t>
      </w:r>
      <w:r>
        <w:rPr>
          <w:rFonts w:hint="eastAsia" w:ascii="仿宋" w:hAnsi="仿宋" w:eastAsia="仿宋"/>
          <w:sz w:val="32"/>
          <w:szCs w:val="32"/>
          <w:lang w:eastAsia="zh-CN"/>
        </w:rPr>
        <w:t>执贰</w:t>
      </w:r>
      <w:r>
        <w:rPr>
          <w:rFonts w:hint="eastAsia" w:ascii="仿宋" w:hAnsi="仿宋" w:eastAsia="仿宋"/>
          <w:sz w:val="32"/>
          <w:szCs w:val="32"/>
        </w:rPr>
        <w:t>份。</w:t>
      </w:r>
    </w:p>
    <w:p>
      <w:pPr>
        <w:rPr>
          <w:rFonts w:hint="eastAsia" w:ascii="仿宋" w:hAnsi="仿宋" w:eastAsia="仿宋"/>
          <w:sz w:val="32"/>
          <w:szCs w:val="32"/>
        </w:rPr>
      </w:pPr>
    </w:p>
    <w:p>
      <w:pPr>
        <w:rPr>
          <w:rFonts w:hint="eastAsia" w:ascii="仿宋" w:hAnsi="仿宋" w:eastAsia="仿宋"/>
          <w:sz w:val="32"/>
          <w:szCs w:val="32"/>
        </w:rPr>
      </w:pPr>
    </w:p>
    <w:p>
      <w:pPr>
        <w:rPr>
          <w:rFonts w:hint="eastAsia" w:ascii="仿宋" w:hAnsi="仿宋" w:eastAsia="仿宋"/>
          <w:sz w:val="32"/>
          <w:szCs w:val="32"/>
        </w:rPr>
      </w:pPr>
    </w:p>
    <w:p>
      <w:pPr>
        <w:rPr>
          <w:rFonts w:hint="eastAsia" w:ascii="仿宋" w:hAnsi="仿宋" w:eastAsia="仿宋"/>
          <w:sz w:val="32"/>
          <w:szCs w:val="32"/>
        </w:rPr>
      </w:pPr>
      <w:r>
        <w:rPr>
          <w:rFonts w:hint="eastAsia" w:ascii="仿宋" w:hAnsi="仿宋" w:eastAsia="仿宋"/>
          <w:sz w:val="32"/>
          <w:szCs w:val="32"/>
        </w:rPr>
        <w:t xml:space="preserve">甲方（签章）：            </w:t>
      </w:r>
      <w:r>
        <w:rPr>
          <w:rFonts w:hint="eastAsia" w:ascii="仿宋" w:hAnsi="仿宋" w:eastAsia="仿宋"/>
          <w:sz w:val="32"/>
          <w:szCs w:val="32"/>
          <w:lang w:val="en-US" w:eastAsia="zh-CN"/>
        </w:rPr>
        <w:t xml:space="preserve"> </w:t>
      </w:r>
      <w:r>
        <w:rPr>
          <w:rFonts w:hint="eastAsia" w:ascii="仿宋" w:hAnsi="仿宋" w:eastAsia="仿宋"/>
          <w:sz w:val="32"/>
          <w:szCs w:val="32"/>
        </w:rPr>
        <w:t>乙方（签章）：</w:t>
      </w:r>
    </w:p>
    <w:p>
      <w:pPr>
        <w:rPr>
          <w:rFonts w:hint="eastAsia" w:ascii="仿宋" w:hAnsi="仿宋" w:eastAsia="仿宋"/>
          <w:sz w:val="32"/>
          <w:szCs w:val="32"/>
        </w:rPr>
      </w:pPr>
    </w:p>
    <w:p>
      <w:pPr>
        <w:rPr>
          <w:rFonts w:hint="eastAsia" w:ascii="仿宋" w:hAnsi="仿宋" w:eastAsia="仿宋"/>
          <w:sz w:val="32"/>
          <w:szCs w:val="32"/>
          <w:lang w:val="en-US" w:eastAsia="zh-CN"/>
        </w:rPr>
      </w:pPr>
      <w:r>
        <w:rPr>
          <w:rFonts w:hint="eastAsia" w:ascii="仿宋" w:hAnsi="仿宋" w:eastAsia="仿宋"/>
          <w:sz w:val="32"/>
          <w:szCs w:val="32"/>
          <w:lang w:val="en-US" w:eastAsia="zh-CN"/>
        </w:rPr>
        <w:t>代表签字：                代表签字：</w:t>
      </w:r>
    </w:p>
    <w:p>
      <w:pPr>
        <w:rPr>
          <w:rFonts w:hint="eastAsia" w:ascii="仿宋" w:hAnsi="仿宋" w:eastAsia="仿宋"/>
          <w:sz w:val="32"/>
          <w:szCs w:val="32"/>
          <w:lang w:val="en-US" w:eastAsia="zh-CN"/>
        </w:rPr>
      </w:pPr>
    </w:p>
    <w:p>
      <w:pPr>
        <w:rPr>
          <w:rFonts w:hint="eastAsia" w:ascii="仿宋" w:hAnsi="仿宋" w:eastAsia="仿宋"/>
          <w:sz w:val="32"/>
          <w:szCs w:val="32"/>
        </w:rPr>
      </w:pPr>
      <w:r>
        <w:rPr>
          <w:rFonts w:hint="eastAsia" w:ascii="仿宋" w:hAnsi="仿宋" w:eastAsia="仿宋"/>
          <w:sz w:val="32"/>
          <w:szCs w:val="32"/>
        </w:rPr>
        <w:t>年    月    日</w:t>
      </w:r>
      <w:r>
        <w:rPr>
          <w:rFonts w:hint="eastAsia" w:ascii="仿宋" w:hAnsi="仿宋" w:eastAsia="仿宋"/>
          <w:sz w:val="32"/>
          <w:szCs w:val="32"/>
          <w:lang w:val="en-US" w:eastAsia="zh-CN"/>
        </w:rPr>
        <w:t xml:space="preserve">            </w:t>
      </w:r>
      <w:r>
        <w:rPr>
          <w:rFonts w:hint="eastAsia" w:ascii="仿宋" w:hAnsi="仿宋" w:eastAsia="仿宋"/>
          <w:sz w:val="32"/>
          <w:szCs w:val="32"/>
        </w:rPr>
        <w:t>年    月    日</w:t>
      </w:r>
    </w:p>
    <w:p>
      <w:pPr>
        <w:rPr>
          <w:rFonts w:hint="eastAsia" w:ascii="仿宋" w:hAnsi="仿宋" w:eastAsia="仿宋"/>
          <w:sz w:val="32"/>
          <w:szCs w:val="32"/>
          <w:lang w:val="en-US" w:eastAsia="zh-CN"/>
        </w:rPr>
      </w:pPr>
    </w:p>
    <w:p>
      <w:pPr>
        <w:rPr>
          <w:rFonts w:hint="eastAsia" w:ascii="仿宋" w:hAnsi="仿宋" w:eastAsia="仿宋"/>
          <w:sz w:val="32"/>
          <w:szCs w:val="32"/>
          <w:lang w:val="en-US" w:eastAsia="zh-CN"/>
        </w:rPr>
        <w:sectPr>
          <w:footerReference r:id="rId7" w:type="default"/>
          <w:pgSz w:w="11906" w:h="16838"/>
          <w:pgMar w:top="2098" w:right="1474" w:bottom="1984" w:left="1587" w:header="851" w:footer="1587" w:gutter="0"/>
          <w:pgNumType w:fmt="decimal"/>
          <w:cols w:space="720" w:num="1"/>
          <w:rtlGutter w:val="0"/>
          <w:docGrid w:type="lines" w:linePitch="439" w:charSpace="0"/>
        </w:sectPr>
      </w:pPr>
    </w:p>
    <w:p>
      <w:pPr>
        <w:rPr>
          <w:rFonts w:hint="eastAsia" w:ascii="仿宋" w:hAnsi="仿宋" w:eastAsia="仿宋"/>
          <w:sz w:val="32"/>
          <w:szCs w:val="32"/>
          <w:lang w:val="en-US" w:eastAsia="zh-CN"/>
        </w:rPr>
      </w:pPr>
      <w:r>
        <w:rPr>
          <w:rFonts w:hint="eastAsia" w:ascii="仿宋" w:hAnsi="仿宋" w:eastAsia="仿宋"/>
          <w:sz w:val="32"/>
          <w:szCs w:val="32"/>
          <w:lang w:eastAsia="zh-CN"/>
        </w:rPr>
        <w:t>附件</w:t>
      </w:r>
      <w:r>
        <w:rPr>
          <w:rFonts w:hint="eastAsia" w:ascii="仿宋" w:hAnsi="仿宋" w:eastAsia="仿宋"/>
          <w:sz w:val="32"/>
          <w:szCs w:val="32"/>
          <w:lang w:val="en-US" w:eastAsia="zh-CN"/>
        </w:rPr>
        <w:t>3：</w:t>
      </w:r>
    </w:p>
    <w:p>
      <w:pPr>
        <w:rPr>
          <w:rFonts w:hint="eastAsia" w:ascii="仿宋" w:hAnsi="仿宋" w:eastAsia="仿宋"/>
          <w:sz w:val="32"/>
          <w:szCs w:val="32"/>
          <w:lang w:val="en-US" w:eastAsia="zh-CN"/>
        </w:rPr>
      </w:pPr>
      <w:r>
        <w:rPr>
          <w:rFonts w:hint="eastAsia" w:ascii="仿宋" w:hAnsi="仿宋" w:eastAsia="仿宋"/>
          <w:sz w:val="32"/>
          <w:szCs w:val="32"/>
          <w:lang w:eastAsia="zh-CN"/>
        </w:rPr>
        <w:drawing>
          <wp:anchor distT="0" distB="0" distL="114300" distR="114300" simplePos="0" relativeHeight="251661312" behindDoc="0" locked="0" layoutInCell="1" allowOverlap="1">
            <wp:simplePos x="0" y="0"/>
            <wp:positionH relativeFrom="page">
              <wp:posOffset>673100</wp:posOffset>
            </wp:positionH>
            <wp:positionV relativeFrom="page">
              <wp:posOffset>1993265</wp:posOffset>
            </wp:positionV>
            <wp:extent cx="6210935" cy="5878195"/>
            <wp:effectExtent l="0" t="0" r="8255" b="18415"/>
            <wp:wrapSquare wrapText="bothSides"/>
            <wp:docPr id="2" name="图片 3" descr="ea8994cd8c573b78071d6ba56fde0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ea8994cd8c573b78071d6ba56fde0cc"/>
                    <pic:cNvPicPr>
                      <a:picLocks noChangeAspect="1"/>
                    </pic:cNvPicPr>
                  </pic:nvPicPr>
                  <pic:blipFill>
                    <a:blip r:embed="rId9"/>
                    <a:stretch>
                      <a:fillRect/>
                    </a:stretch>
                  </pic:blipFill>
                  <pic:spPr>
                    <a:xfrm rot="16200000">
                      <a:off x="0" y="0"/>
                      <a:ext cx="6210935" cy="5878195"/>
                    </a:xfrm>
                    <a:prstGeom prst="rect">
                      <a:avLst/>
                    </a:prstGeom>
                    <a:noFill/>
                    <a:ln>
                      <a:noFill/>
                    </a:ln>
                  </pic:spPr>
                </pic:pic>
              </a:graphicData>
            </a:graphic>
          </wp:anchor>
        </w:drawing>
      </w:r>
    </w:p>
    <w:p>
      <w:pPr>
        <w:rPr>
          <w:rFonts w:hint="eastAsia" w:ascii="仿宋" w:hAnsi="仿宋" w:eastAsia="仿宋"/>
          <w:sz w:val="32"/>
          <w:szCs w:val="32"/>
          <w:lang w:eastAsia="zh-CN"/>
        </w:rPr>
        <w:sectPr>
          <w:pgSz w:w="11906" w:h="16838"/>
          <w:pgMar w:top="2098" w:right="1474" w:bottom="1984" w:left="1587" w:header="851" w:footer="850" w:gutter="0"/>
          <w:pgNumType w:fmt="decimal"/>
          <w:cols w:space="0" w:num="1"/>
          <w:rtlGutter w:val="0"/>
          <w:docGrid w:type="lines" w:linePitch="456" w:charSpace="0"/>
        </w:sectPr>
      </w:pPr>
    </w:p>
    <w:p>
      <w:pPr>
        <w:rPr>
          <w:rFonts w:hint="eastAsia" w:ascii="仿宋" w:hAnsi="仿宋" w:eastAsia="仿宋"/>
          <w:sz w:val="32"/>
          <w:szCs w:val="32"/>
        </w:rPr>
      </w:pPr>
    </w:p>
    <w:p>
      <w:pPr>
        <w:rPr>
          <w:rFonts w:hint="eastAsia" w:ascii="仿宋" w:hAnsi="仿宋" w:eastAsia="仿宋"/>
          <w:sz w:val="32"/>
          <w:szCs w:val="32"/>
        </w:rPr>
      </w:pPr>
    </w:p>
    <w:p>
      <w:pPr>
        <w:rPr>
          <w:rFonts w:hint="eastAsia" w:ascii="仿宋" w:hAnsi="仿宋" w:eastAsia="仿宋"/>
          <w:sz w:val="32"/>
          <w:szCs w:val="32"/>
        </w:rPr>
      </w:pPr>
    </w:p>
    <w:p>
      <w:pPr>
        <w:rPr>
          <w:rFonts w:hint="eastAsia" w:ascii="仿宋" w:hAnsi="仿宋" w:eastAsia="仿宋"/>
          <w:sz w:val="32"/>
          <w:szCs w:val="32"/>
        </w:rPr>
      </w:pPr>
    </w:p>
    <w:p>
      <w:pPr>
        <w:rPr>
          <w:rFonts w:hint="eastAsia" w:ascii="仿宋" w:hAnsi="仿宋" w:eastAsia="仿宋"/>
          <w:sz w:val="32"/>
          <w:szCs w:val="32"/>
        </w:rPr>
      </w:pPr>
    </w:p>
    <w:p>
      <w:pPr>
        <w:rPr>
          <w:rFonts w:hint="eastAsia" w:ascii="仿宋" w:hAnsi="仿宋" w:eastAsia="仿宋"/>
          <w:sz w:val="32"/>
          <w:szCs w:val="32"/>
        </w:rPr>
      </w:pPr>
    </w:p>
    <w:p>
      <w:pPr>
        <w:rPr>
          <w:rFonts w:hint="eastAsia" w:ascii="仿宋" w:hAnsi="仿宋" w:eastAsia="仿宋"/>
          <w:sz w:val="32"/>
          <w:szCs w:val="32"/>
        </w:rPr>
      </w:pPr>
    </w:p>
    <w:p>
      <w:pPr>
        <w:rPr>
          <w:rFonts w:hint="eastAsia" w:ascii="仿宋" w:hAnsi="仿宋" w:eastAsia="仿宋"/>
          <w:sz w:val="32"/>
          <w:szCs w:val="32"/>
        </w:rPr>
      </w:pPr>
    </w:p>
    <w:sectPr>
      <w:pgSz w:w="11906" w:h="16838"/>
      <w:pgMar w:top="2098" w:right="1474" w:bottom="1984" w:left="1587" w:header="851" w:footer="850" w:gutter="0"/>
      <w:pgNumType w:fmt="numberInDash"/>
      <w:cols w:space="0" w:num="1"/>
      <w:rtlGutter w:val="0"/>
      <w:docGrid w:type="lines" w:linePitch="45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4788" w:leftChars="2280" w:firstLine="6400" w:firstLineChars="2000"/>
      <w:rPr>
        <w:rFonts w:eastAsia="仿宋"/>
        <w:sz w:val="32"/>
        <w:szCs w:val="48"/>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9"/>
      <w:wordWrap w:val="0"/>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铁岭市</w:t>
    </w:r>
    <w:r>
      <w:rPr>
        <w:rFonts w:hint="eastAsia" w:ascii="宋体" w:hAnsi="宋体" w:eastAsia="宋体" w:cs="宋体"/>
        <w:b/>
        <w:bCs/>
        <w:color w:val="005192"/>
        <w:sz w:val="28"/>
        <w:szCs w:val="44"/>
        <w:lang w:eastAsia="zh-CN"/>
      </w:rPr>
      <w:t>发展和改革委员会</w:t>
    </w:r>
    <w:r>
      <w:rPr>
        <w:rFonts w:hint="eastAsia" w:ascii="宋体" w:hAnsi="宋体" w:eastAsia="宋体" w:cs="宋体"/>
        <w:b/>
        <w:bCs/>
        <w:color w:val="005192"/>
        <w:sz w:val="28"/>
        <w:szCs w:val="44"/>
      </w:rPr>
      <w:t xml:space="preserve">发布     </w:t>
    </w:r>
  </w:p>
  <w:p>
    <w:pPr>
      <w:pStyle w:val="9"/>
      <w:wordWrap w:val="0"/>
      <w:ind w:left="4788" w:leftChars="2280" w:firstLine="5622" w:firstLineChars="2000"/>
      <w:jc w:val="right"/>
      <w:rPr>
        <w:rFonts w:ascii="宋体" w:hAnsi="宋体" w:eastAsia="宋体" w:cs="宋体"/>
        <w:b/>
        <w:bCs/>
        <w:color w:val="005192"/>
        <w:sz w:val="28"/>
        <w:szCs w:val="4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19</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文本框 7"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Ae93NyQEAAJkDAAAOAAAAAAAAAAEAIAAAAB4BAABkcnMvZTJvRG9j&#10;LnhtbFBLBQYAAAAABgAGAFkBAABZBQAAAAA=&#10;">
              <v:fill on="f" focussize="0,0"/>
              <v:stroke on="f"/>
              <v:imagedata o:title=""/>
              <o:lock v:ext="edit" aspectratio="f"/>
              <v:textbox inset="0mm,0mm,0mm,0mm" style="mso-fit-shape-to-text:t;">
                <w:txbxContent>
                  <w:p>
                    <w:pPr>
                      <w:pStyle w:val="8"/>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19</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lang w:val="en-US" w:eastAsia="zh-CN"/>
                            </w:rPr>
                            <w:t xml:space="preserve">19 </w:t>
                          </w:r>
                          <w:r>
                            <w:rPr>
                              <w:rFonts w:hint="eastAsia" w:ascii="宋体" w:hAnsi="宋体" w:eastAsia="宋体" w:cs="宋体"/>
                              <w:sz w:val="28"/>
                              <w:szCs w:val="28"/>
                            </w:rPr>
                            <w:t>—</w:t>
                          </w:r>
                        </w:p>
                      </w:txbxContent>
                    </wps:txbx>
                    <wps:bodyPr wrap="none" lIns="0" tIns="0" rIns="0" bIns="0" upright="0">
                      <a:spAutoFit/>
                    </wps:bodyPr>
                  </wps:wsp>
                </a:graphicData>
              </a:graphic>
            </wp:anchor>
          </w:drawing>
        </mc:Choice>
        <mc:Fallback>
          <w:pict>
            <v:shape id="文本框 8"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ywdv5McBAACZAwAADgAAAAAAAAABACAAAAAeAQAAZHJzL2Uyb0RvYy54&#10;bWxQSwUGAAAAAAYABgBZAQAAVwUAAAAA&#10;">
              <v:fill on="f" focussize="0,0"/>
              <v:stroke on="f"/>
              <v:imagedata o:title=""/>
              <o:lock v:ext="edit" aspectratio="f"/>
              <v:textbox inset="0mm,0mm,0mm,0mm" style="mso-fit-shape-to-text:t;">
                <w:txbxContent>
                  <w:p>
                    <w:pPr>
                      <w:pStyle w:val="8"/>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lang w:val="en-US" w:eastAsia="zh-CN"/>
                      </w:rPr>
                      <w:t xml:space="preserve">19 </w:t>
                    </w:r>
                    <w:r>
                      <w:rPr>
                        <w:rFonts w:hint="eastAsia" w:ascii="宋体" w:hAnsi="宋体" w:eastAsia="宋体" w:cs="宋体"/>
                        <w:sz w:val="28"/>
                        <w:szCs w:val="28"/>
                      </w:rPr>
                      <w:t>—</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CWTNKnIAQAAmQMAAA4AAAAAAAAAAQAgAAAAHgEAAGRycy9lMm9Eb2Mu&#10;eG1sUEsFBgAAAAAGAAYAWQEAAFgFAAAAAA==&#10;">
              <v:fill on="f" focussize="0,0"/>
              <v:stroke on="f"/>
              <v:imagedata o:title=""/>
              <o:lock v:ext="edit" aspectratio="f"/>
              <v:textbox inset="0mm,0mm,0mm,0mm" style="mso-fit-shape-to-text:t;">
                <w:txbxContent>
                  <w:p>
                    <w:pPr>
                      <w:pStyle w:val="8"/>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extAlignment w:val="center"/>
      <w:rPr>
        <w:rFonts w:ascii="宋体" w:hAnsi="宋体" w:eastAsia="宋体" w:cs="宋体"/>
        <w:b/>
        <w:bCs/>
        <w:color w:val="005192"/>
        <w:sz w:val="32"/>
      </w:rPr>
    </w:pPr>
    <w:r>
      <w:rPr>
        <w:rFonts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60288;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fill on="f" focussize="0,0"/>
              <v:stroke weight="1.75pt" color="#005192" miterlimit="8" joinstyle="miter"/>
              <v:imagedata o:title=""/>
              <o:lock v:ext="edit" aspectratio="f"/>
            </v:line>
          </w:pict>
        </mc:Fallback>
      </mc:AlternateContent>
    </w:r>
  </w:p>
  <w:p>
    <w:pPr>
      <w:pStyle w:val="9"/>
      <w:textAlignment w:val="center"/>
      <w:rPr>
        <w:rFonts w:hint="eastAsia"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铁岭市行政规范性文件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7F336E"/>
    <w:multiLevelType w:val="singleLevel"/>
    <w:tmpl w:val="FD7F336E"/>
    <w:lvl w:ilvl="0" w:tentative="0">
      <w:start w:val="2"/>
      <w:numFmt w:val="decimal"/>
      <w:lvlText w:val="%1."/>
      <w:lvlJc w:val="left"/>
      <w:pPr>
        <w:tabs>
          <w:tab w:val="left" w:pos="312"/>
        </w:tabs>
        <w:ind w:left="641"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228"/>
  <w:displayHorizontalDrawingGridEvery w:val="1"/>
  <w:displayVerticalDrawingGridEvery w:val="2"/>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4MjRlNGEwNWRjNTliMWIyN2E2OGFiMGNkZjYxZDcifQ=="/>
  </w:docVars>
  <w:rsids>
    <w:rsidRoot w:val="00172A27"/>
    <w:rsid w:val="000E1DB2"/>
    <w:rsid w:val="00172A27"/>
    <w:rsid w:val="00212AE5"/>
    <w:rsid w:val="002B722C"/>
    <w:rsid w:val="002F2540"/>
    <w:rsid w:val="00327076"/>
    <w:rsid w:val="0034053C"/>
    <w:rsid w:val="003D476A"/>
    <w:rsid w:val="00490E35"/>
    <w:rsid w:val="006F2F0E"/>
    <w:rsid w:val="00881281"/>
    <w:rsid w:val="00A951CF"/>
    <w:rsid w:val="00B2580B"/>
    <w:rsid w:val="00BB2D06"/>
    <w:rsid w:val="00D84724"/>
    <w:rsid w:val="00FD3E48"/>
    <w:rsid w:val="019E71BD"/>
    <w:rsid w:val="04B679C3"/>
    <w:rsid w:val="080F63D8"/>
    <w:rsid w:val="09341458"/>
    <w:rsid w:val="0B0912D7"/>
    <w:rsid w:val="152D2DCA"/>
    <w:rsid w:val="1C31150F"/>
    <w:rsid w:val="1DEC284C"/>
    <w:rsid w:val="1E6523AC"/>
    <w:rsid w:val="22440422"/>
    <w:rsid w:val="31A15F24"/>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DC34279"/>
    <w:rsid w:val="608816D1"/>
    <w:rsid w:val="60EF4E7F"/>
    <w:rsid w:val="665233C1"/>
    <w:rsid w:val="6AD9688B"/>
    <w:rsid w:val="6D0E3F22"/>
    <w:rsid w:val="7C9011D9"/>
    <w:rsid w:val="7D224CE4"/>
    <w:rsid w:val="7DC651C5"/>
    <w:rsid w:val="7FCC283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next w:val="1"/>
    <w:qFormat/>
    <w:uiPriority w:val="9"/>
    <w:pPr>
      <w:keepNext/>
      <w:keepLines/>
      <w:spacing w:after="655" w:line="326" w:lineRule="auto"/>
      <w:ind w:left="10" w:right="161" w:hanging="10"/>
      <w:jc w:val="center"/>
      <w:outlineLvl w:val="0"/>
    </w:pPr>
    <w:rPr>
      <w:rFonts w:ascii="黑体" w:hAnsi="黑体" w:eastAsia="黑体" w:cs="黑体"/>
      <w:color w:val="000000"/>
      <w:kern w:val="2"/>
      <w:sz w:val="32"/>
      <w:szCs w:val="22"/>
      <w:lang w:val="en-US" w:eastAsia="zh-CN" w:bidi="ar-SA"/>
    </w:rPr>
  </w:style>
  <w:style w:type="character" w:default="1" w:styleId="13">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line="240" w:lineRule="auto"/>
      <w:jc w:val="center"/>
    </w:pPr>
    <w:rPr>
      <w:rFonts w:eastAsia="黑体"/>
      <w:sz w:val="36"/>
    </w:rPr>
  </w:style>
  <w:style w:type="paragraph" w:customStyle="1" w:styleId="3">
    <w:name w:val="Body Text 21"/>
    <w:basedOn w:val="1"/>
    <w:qFormat/>
    <w:uiPriority w:val="0"/>
    <w:pPr>
      <w:spacing w:after="120" w:afterLines="0" w:line="480" w:lineRule="auto"/>
    </w:pPr>
    <w:rPr>
      <w:rFonts w:ascii="Arial" w:hAnsi="Arial" w:cs="Times New Roman"/>
    </w:rPr>
  </w:style>
  <w:style w:type="paragraph" w:styleId="5">
    <w:name w:val="annotation text"/>
    <w:basedOn w:val="1"/>
    <w:qFormat/>
    <w:uiPriority w:val="0"/>
    <w:pPr>
      <w:jc w:val="left"/>
    </w:pPr>
  </w:style>
  <w:style w:type="paragraph" w:styleId="6">
    <w:name w:val="Body Text Indent"/>
    <w:basedOn w:val="1"/>
    <w:unhideWhenUsed/>
    <w:qFormat/>
    <w:uiPriority w:val="99"/>
    <w:pPr>
      <w:spacing w:after="120" w:afterLines="0" w:afterAutospacing="0"/>
      <w:ind w:left="420" w:leftChars="200"/>
    </w:pPr>
  </w:style>
  <w:style w:type="paragraph" w:styleId="7">
    <w:name w:val="Balloon Text"/>
    <w:basedOn w:val="1"/>
    <w:link w:val="16"/>
    <w:uiPriority w:val="0"/>
    <w:rPr>
      <w:sz w:val="18"/>
      <w:szCs w:val="18"/>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Normal (Web)"/>
    <w:basedOn w:val="1"/>
    <w:unhideWhenUsed/>
    <w:uiPriority w:val="99"/>
    <w:pPr>
      <w:widowControl/>
      <w:spacing w:before="100" w:beforeAutospacing="1" w:after="100" w:afterAutospacing="1"/>
      <w:jc w:val="left"/>
    </w:pPr>
    <w:rPr>
      <w:rFonts w:ascii="宋体" w:hAnsi="宋体" w:eastAsia="宋体" w:cs="宋体"/>
      <w:kern w:val="0"/>
      <w:sz w:val="24"/>
    </w:rPr>
  </w:style>
  <w:style w:type="paragraph" w:styleId="11">
    <w:name w:val="Body Text First Indent 2"/>
    <w:basedOn w:val="6"/>
    <w:unhideWhenUsed/>
    <w:qFormat/>
    <w:uiPriority w:val="99"/>
    <w:pPr>
      <w:ind w:firstLine="420" w:firstLineChars="200"/>
    </w:pPr>
  </w:style>
  <w:style w:type="character" w:styleId="14">
    <w:name w:val="Strong"/>
    <w:basedOn w:val="13"/>
    <w:qFormat/>
    <w:uiPriority w:val="22"/>
    <w:rPr>
      <w:b/>
      <w:bCs/>
    </w:rPr>
  </w:style>
  <w:style w:type="character" w:styleId="15">
    <w:name w:val="annotation reference"/>
    <w:basedOn w:val="13"/>
    <w:uiPriority w:val="0"/>
    <w:rPr>
      <w:sz w:val="21"/>
      <w:szCs w:val="21"/>
    </w:rPr>
  </w:style>
  <w:style w:type="character" w:customStyle="1" w:styleId="16">
    <w:name w:val="批注框文本 Char"/>
    <w:basedOn w:val="13"/>
    <w:link w:val="7"/>
    <w:uiPriority w:val="0"/>
    <w:rPr>
      <w:rFonts w:asciiTheme="minorHAnsi" w:hAnsiTheme="minorHAnsi" w:eastAsiaTheme="minorEastAsia" w:cstheme="minorBidi"/>
      <w:kern w:val="2"/>
      <w:sz w:val="18"/>
      <w:szCs w:val="18"/>
    </w:rPr>
  </w:style>
  <w:style w:type="table" w:customStyle="1" w:styleId="17">
    <w:name w:val="TableGri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1FEA471-2F9E-44BA-B090-04DADCFC282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Pages>
  <Words>8284</Words>
  <Characters>8703</Characters>
  <Lines>25</Lines>
  <Paragraphs>7</Paragraphs>
  <TotalTime>5</TotalTime>
  <ScaleCrop>false</ScaleCrop>
  <LinksUpToDate>false</LinksUpToDate>
  <CharactersWithSpaces>9144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2021-11-24T01:49:00Z</dcterms:created>
  <dc:creator>t</dc:creator>
  <cp:lastModifiedBy>Administrator</cp:lastModifiedBy>
  <cp:lastPrinted>2021-10-26T03:30:00Z</cp:lastPrinted>
  <dcterms:modified xsi:type="dcterms:W3CDTF">2024-08-05T02:39:33Z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48C61CB29D3F4D9384F5922CF0F7FFB4</vt:lpwstr>
  </property>
</Properties>
</file>