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left="0"/>
        <w:textAlignment w:val="auto"/>
        <w:rPr>
          <w:rFonts w:hint="eastAsia" w:ascii="方正小标宋简体" w:hAnsi="方正小标宋简体" w:eastAsia="方正小标宋简体" w:cs="方正小标宋简体"/>
          <w:color w:val="000000" w:themeColor="text1"/>
          <w:spacing w:val="0"/>
          <w:sz w:val="44"/>
          <w:szCs w:val="44"/>
          <w:shd w:val="clear" w:color="auto" w:fill="FFFFFF"/>
          <w:lang w:eastAsia="zh-CN"/>
          <w14:textFill>
            <w14:solidFill>
              <w14:schemeClr w14:val="tx1"/>
            </w14:solidFill>
          </w14:textFill>
        </w:rPr>
      </w:pPr>
      <w:bookmarkStart w:id="0" w:name="_GoBack"/>
      <w:bookmarkEnd w:id="0"/>
    </w:p>
    <w:p>
      <w:pPr>
        <w:keepNext w:val="0"/>
        <w:keepLines w:val="0"/>
        <w:pageBreakBefore w:val="0"/>
        <w:kinsoku/>
        <w:wordWrap/>
        <w:overflowPunct/>
        <w:topLinePunct w:val="0"/>
        <w:autoSpaceDE/>
        <w:autoSpaceDN/>
        <w:bidi w:val="0"/>
        <w:adjustRightInd/>
        <w:snapToGrid/>
        <w:spacing w:line="600" w:lineRule="exact"/>
        <w:ind w:left="0" w:firstLine="864" w:firstLineChars="200"/>
        <w:textAlignment w:val="auto"/>
        <w:rPr>
          <w:rFonts w:hint="eastAsia" w:ascii="方正小标宋简体" w:hAnsi="方正小标宋简体" w:eastAsia="方正小标宋简体" w:cs="方正小标宋简体"/>
          <w:color w:val="000000" w:themeColor="text1"/>
          <w:spacing w:val="0"/>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color w:val="000000" w:themeColor="text1"/>
          <w:spacing w:val="0"/>
          <w:sz w:val="44"/>
          <w:szCs w:val="44"/>
          <w:shd w:val="clear" w:color="auto" w:fill="FFFFFF"/>
          <w:lang w:eastAsia="zh-CN"/>
          <w14:textFill>
            <w14:solidFill>
              <w14:schemeClr w14:val="tx1"/>
            </w14:solidFill>
          </w14:textFill>
        </w:rPr>
        <w:t>调兵山市城市污水处理费征收管理办法</w:t>
      </w:r>
    </w:p>
    <w:p>
      <w:pPr>
        <w:keepNext w:val="0"/>
        <w:keepLines w:val="0"/>
        <w:pageBreakBefore w:val="0"/>
        <w:kinsoku/>
        <w:wordWrap/>
        <w:overflowPunct/>
        <w:topLinePunct w:val="0"/>
        <w:autoSpaceDE/>
        <w:autoSpaceDN/>
        <w:bidi w:val="0"/>
        <w:adjustRightInd/>
        <w:snapToGrid/>
        <w:spacing w:line="600" w:lineRule="exact"/>
        <w:ind w:left="0" w:firstLine="624" w:firstLineChars="200"/>
        <w:textAlignment w:val="auto"/>
        <w:rPr>
          <w:rFonts w:ascii="仿宋_GB2312" w:hAnsi="仿宋_GB2312" w:eastAsia="仿宋_GB2312" w:cs="仿宋_GB2312"/>
          <w:b w:val="0"/>
          <w:bCs w:val="0"/>
          <w:color w:val="000000" w:themeColor="text1"/>
          <w:spacing w:val="0"/>
          <w:sz w:val="32"/>
          <w:szCs w:val="32"/>
          <w:shd w:val="clear" w:color="auto" w:fill="FFFFFF"/>
          <w14:textFill>
            <w14:solidFill>
              <w14:schemeClr w14:val="tx1"/>
            </w14:solidFill>
          </w14:textFill>
        </w:rPr>
      </w:pP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第一条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为进一步加强城市污水处理费征收工作，确保城市污水处理厂的正常运营，根据《城镇排水与污水处理条例》（国务院令第641号）、《国家财政部、发展改革委、住房城乡建设部、关于印发〈污水处理费征收使用管理办法〉的通知》（财税〔2014</w:t>
      </w:r>
      <w:r>
        <w:rPr>
          <w:rFonts w:hint="eastAsia" w:ascii="仿宋_GB2312" w:eastAsia="仿宋_GB2312"/>
          <w:color w:val="000000"/>
          <w:spacing w:val="0"/>
          <w:sz w:val="32"/>
          <w:highlight w:val="none"/>
        </w:rPr>
        <w:t>〕</w:t>
      </w:r>
      <w:r>
        <w:rPr>
          <w:rFonts w:hint="eastAsia" w:ascii="仿宋_GB2312" w:hAnsi="仿宋_GB2312" w:eastAsia="仿宋_GB2312" w:cs="仿宋_GB2312"/>
          <w:color w:val="000000" w:themeColor="text1"/>
          <w:spacing w:val="0"/>
          <w:sz w:val="32"/>
          <w:szCs w:val="32"/>
          <w14:textFill>
            <w14:solidFill>
              <w14:schemeClr w14:val="tx1"/>
            </w14:solidFill>
          </w14:textFill>
        </w:rPr>
        <w:t>151号）、《辽宁省城市污水处理费征收使用管理办法》（辽宁省人民政府令第235号）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铁岭市人民政府办公室关于印发铁岭市城市污水处理费征收管理办法的通知</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铁政办发</w:t>
      </w:r>
      <w:r>
        <w:rPr>
          <w:rFonts w:hint="eastAsia" w:ascii="仿宋_GB2312" w:hAnsi="仿宋_GB2312" w:eastAsia="仿宋_GB2312" w:cs="仿宋_GB2312"/>
          <w:color w:val="000000" w:themeColor="text1"/>
          <w:spacing w:val="0"/>
          <w:sz w:val="32"/>
          <w:szCs w:val="32"/>
          <w14:textFill>
            <w14:solidFill>
              <w14:schemeClr w14:val="tx1"/>
            </w14:solidFill>
          </w14:textFill>
        </w:rPr>
        <w:t>〔20</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23</w:t>
      </w:r>
      <w:r>
        <w:rPr>
          <w:rFonts w:hint="eastAsia" w:ascii="仿宋_GB2312" w:eastAsia="仿宋_GB2312"/>
          <w:color w:val="000000"/>
          <w:spacing w:val="0"/>
          <w:sz w:val="32"/>
          <w:highlight w:val="none"/>
        </w:rPr>
        <w:t>〕</w:t>
      </w:r>
      <w:r>
        <w:rPr>
          <w:rFonts w:hint="eastAsia" w:ascii="仿宋_GB2312" w:eastAsia="仿宋_GB2312"/>
          <w:color w:val="000000"/>
          <w:spacing w:val="0"/>
          <w:sz w:val="32"/>
          <w:highlight w:val="none"/>
          <w:lang w:val="en-US" w:eastAsia="zh-CN"/>
        </w:rPr>
        <w:t>11号</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等有关规定，结合我市实际，制定本办法。</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本办法适用于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调兵山</w:t>
      </w:r>
      <w:r>
        <w:rPr>
          <w:rFonts w:hint="eastAsia" w:ascii="仿宋_GB2312" w:hAnsi="仿宋_GB2312" w:eastAsia="仿宋_GB2312" w:cs="仿宋_GB2312"/>
          <w:color w:val="000000" w:themeColor="text1"/>
          <w:spacing w:val="0"/>
          <w:sz w:val="32"/>
          <w:szCs w:val="32"/>
          <w14:textFill>
            <w14:solidFill>
              <w14:schemeClr w14:val="tx1"/>
            </w14:solidFill>
          </w14:textFill>
        </w:rPr>
        <w:t>市</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区域范围内的所有单位和居民</w:t>
      </w:r>
      <w:r>
        <w:rPr>
          <w:rFonts w:hint="eastAsia" w:ascii="仿宋_GB2312" w:hAnsi="仿宋_GB2312" w:eastAsia="仿宋_GB2312" w:cs="仿宋_GB2312"/>
          <w:color w:val="000000" w:themeColor="text1"/>
          <w:spacing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第三条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市住房和城乡建设局</w:t>
      </w:r>
      <w:r>
        <w:rPr>
          <w:rFonts w:hint="eastAsia" w:ascii="仿宋_GB2312" w:hAnsi="仿宋_GB2312" w:eastAsia="仿宋_GB2312" w:cs="仿宋_GB2312"/>
          <w:color w:val="000000" w:themeColor="text1"/>
          <w:spacing w:val="0"/>
          <w:sz w:val="32"/>
          <w:szCs w:val="32"/>
          <w14:textFill>
            <w14:solidFill>
              <w14:schemeClr w14:val="tx1"/>
            </w14:solidFill>
          </w14:textFill>
        </w:rPr>
        <w:t>是全市城市污水处理费征收主管部门，并直接负责</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调兵山所属镇（街）、</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铁法能源</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有限责任公司各单位污水处理费征收工作。</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发展改革、公安、财政、生态环境、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住</w:t>
      </w:r>
      <w:r>
        <w:rPr>
          <w:rFonts w:hint="eastAsia" w:ascii="仿宋_GB2312" w:hAnsi="仿宋_GB2312" w:eastAsia="仿宋_GB2312" w:cs="仿宋_GB2312"/>
          <w:color w:val="000000" w:themeColor="text1"/>
          <w:spacing w:val="0"/>
          <w:sz w:val="32"/>
          <w:szCs w:val="32"/>
          <w14:textFill>
            <w14:solidFill>
              <w14:schemeClr w14:val="tx1"/>
            </w14:solidFill>
          </w14:textFill>
        </w:rPr>
        <w:t>建、水利、审计、税务、市场监督管理等部门，按照各自职责做好污水处理费征收、管理、监督工作。</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城市污水处理费属于政府非税收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入</w:t>
      </w:r>
      <w:r>
        <w:rPr>
          <w:rFonts w:hint="eastAsia" w:ascii="仿宋_GB2312" w:hAnsi="仿宋_GB2312" w:eastAsia="仿宋_GB2312" w:cs="仿宋_GB2312"/>
          <w:color w:val="000000" w:themeColor="text1"/>
          <w:spacing w:val="0"/>
          <w:sz w:val="32"/>
          <w:szCs w:val="32"/>
          <w14:textFill>
            <w14:solidFill>
              <w14:schemeClr w14:val="tx1"/>
            </w14:solidFill>
          </w14:textFill>
        </w:rPr>
        <w:t>，实行收支两条线，专项用于城镇污水集中处理设施的建设、</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运</w:t>
      </w:r>
      <w:r>
        <w:rPr>
          <w:rFonts w:hint="eastAsia" w:ascii="仿宋_GB2312" w:hAnsi="仿宋_GB2312" w:eastAsia="仿宋_GB2312" w:cs="仿宋_GB2312"/>
          <w:color w:val="000000" w:themeColor="text1"/>
          <w:spacing w:val="0"/>
          <w:sz w:val="32"/>
          <w:szCs w:val="32"/>
          <w14:textFill>
            <w14:solidFill>
              <w14:schemeClr w14:val="tx1"/>
            </w14:solidFill>
          </w14:textFill>
        </w:rPr>
        <w:t>行和维护，任何单位和个人不得截留、挤占或挪用。</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第五条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污水处理费按照污染者付费原则，由排水单位和个人缴纳</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并</w:t>
      </w:r>
      <w:r>
        <w:rPr>
          <w:rFonts w:hint="eastAsia" w:ascii="仿宋_GB2312" w:hAnsi="仿宋_GB2312" w:eastAsia="仿宋_GB2312" w:cs="仿宋_GB2312"/>
          <w:color w:val="000000" w:themeColor="text1"/>
          <w:spacing w:val="0"/>
          <w:sz w:val="32"/>
          <w:szCs w:val="32"/>
          <w14:textFill>
            <w14:solidFill>
              <w14:schemeClr w14:val="tx1"/>
            </w14:solidFill>
          </w14:textFill>
        </w:rPr>
        <w:t>专项用于城镇污水处理设施建设、运行和污泥处理处置的资金。</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凡在城市使用公共管网供水和自备水源（包括自备井）向城市污水集中处理设施（包括城市污水管网、污水处理厂等）排放污水的单位和个人，都要缴纳城市污水处理费，不再缴纳排污费、排水设施有偿使用费。对向城市污水集中处理设施排放污水超过国家或省规定排放标准的，继续征收污水超标准排污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第七条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单位或个人自建污水处理设施，污水处理后全部回用或处理后水质符合国家规定的排向自然水体的水质标准，且未向城镇排水与污水处理设施排水的，不缴纳污水处理费</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仍向城镇排水与污水处理设施排水的，应当足额缴纳污水处理费。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第八条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城市污水处理费按照用水量征收，计量方式如下：</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使用自来水的单位和个人，其用水量按照水表</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显示</w:t>
      </w:r>
      <w:r>
        <w:rPr>
          <w:rFonts w:hint="eastAsia" w:ascii="仿宋_GB2312" w:hAnsi="仿宋_GB2312" w:eastAsia="仿宋_GB2312" w:cs="仿宋_GB2312"/>
          <w:color w:val="000000" w:themeColor="text1"/>
          <w:spacing w:val="0"/>
          <w:sz w:val="32"/>
          <w:szCs w:val="32"/>
          <w14:textFill>
            <w14:solidFill>
              <w14:schemeClr w14:val="tx1"/>
            </w14:solidFill>
          </w14:textFill>
        </w:rPr>
        <w:t>的量值计算；使用</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自</w:t>
      </w:r>
      <w:r>
        <w:rPr>
          <w:rFonts w:hint="eastAsia" w:ascii="仿宋_GB2312" w:hAnsi="仿宋_GB2312" w:eastAsia="仿宋_GB2312" w:cs="仿宋_GB2312"/>
          <w:color w:val="000000" w:themeColor="text1"/>
          <w:spacing w:val="0"/>
          <w:sz w:val="32"/>
          <w:szCs w:val="32"/>
          <w14:textFill>
            <w14:solidFill>
              <w14:schemeClr w14:val="tx1"/>
            </w14:solidFill>
          </w14:textFill>
        </w:rPr>
        <w:t>备水源的单位和个人，已安装水表的，其用水量按照水表显示的量值计算；未安装水表的，其用水量按照取水设施铭牌流量每日运转24 小时计算。产品以水为主要原料的企业，按其用水量计征污水处理费。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建筑施工用水、建筑施工临时排水、基坑疏</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干</w:t>
      </w:r>
      <w:r>
        <w:rPr>
          <w:rFonts w:hint="eastAsia" w:ascii="仿宋_GB2312" w:hAnsi="仿宋_GB2312" w:eastAsia="仿宋_GB2312" w:cs="仿宋_GB2312"/>
          <w:color w:val="000000" w:themeColor="text1"/>
          <w:spacing w:val="0"/>
          <w:sz w:val="32"/>
          <w:szCs w:val="32"/>
          <w14:textFill>
            <w14:solidFill>
              <w14:schemeClr w14:val="tx1"/>
            </w14:solidFill>
          </w14:textFill>
        </w:rPr>
        <w:t>排水，由建设单位或相关单位缴纳污水处理费。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建筑施工用水，根据主管部门批准的施工图建筑面积核定用水量，每平方米按1立方米计算，按照当地非居民标准征收城市污水处理费。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建筑施工临时排水、基坑疏</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干</w:t>
      </w:r>
      <w:r>
        <w:rPr>
          <w:rFonts w:hint="eastAsia" w:ascii="仿宋_GB2312" w:hAnsi="仿宋_GB2312" w:eastAsia="仿宋_GB2312" w:cs="仿宋_GB2312"/>
          <w:color w:val="000000" w:themeColor="text1"/>
          <w:spacing w:val="0"/>
          <w:sz w:val="32"/>
          <w:szCs w:val="32"/>
          <w14:textFill>
            <w14:solidFill>
              <w14:schemeClr w14:val="tx1"/>
            </w14:solidFill>
          </w14:textFill>
        </w:rPr>
        <w:t>排水，根据水表显示的量值或排水设施铭牌流量每日运转24小时核定排水量，按照当地非居民标准减半征收城市污水处理费。</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kern w:val="2"/>
          <w:sz w:val="32"/>
          <w:szCs w:val="32"/>
          <w:lang w:val="en-US" w:eastAsia="zh-CN" w:bidi="ar-SA"/>
          <w14:textFill>
            <w14:solidFill>
              <w14:schemeClr w14:val="tx1"/>
            </w14:solidFill>
          </w14:textFill>
        </w:rPr>
        <w:t xml:space="preserve">第九条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城市污水处理费征收标准</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居民每立方米0.95元</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t>非居民每立方米1.60元</w:t>
      </w:r>
      <w:r>
        <w:rPr>
          <w:rFonts w:hint="eastAsia" w:ascii="仿宋_GB2312" w:hAnsi="仿宋_GB2312" w:eastAsia="仿宋_GB2312" w:cs="仿宋_GB2312"/>
          <w:color w:val="000000" w:themeColor="text1"/>
          <w:spacing w:val="0"/>
          <w:sz w:val="32"/>
          <w:szCs w:val="32"/>
          <w:highlight w:val="none"/>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特种行业（桑拿、洗浴、洗车、经营性游泳池、纯净水、矿泉水等高消费和高耗水行业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每立方米2.00元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建筑施工用水按建筑面积每平方米1.60元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建筑施工临时排水、基坑疏干排水每立方米0.80元。</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kern w:val="2"/>
          <w:sz w:val="32"/>
          <w:szCs w:val="32"/>
          <w:lang w:val="en-US" w:eastAsia="zh-CN" w:bidi="ar-SA"/>
          <w14:textFill>
            <w14:solidFill>
              <w14:schemeClr w14:val="tx1"/>
            </w14:solidFill>
          </w14:textFill>
        </w:rPr>
        <w:t xml:space="preserve">第十条  </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市住房和城乡建设局</w:t>
      </w:r>
      <w:r>
        <w:rPr>
          <w:rFonts w:hint="eastAsia" w:ascii="仿宋_GB2312" w:hAnsi="仿宋_GB2312" w:eastAsia="仿宋_GB2312" w:cs="仿宋_GB2312"/>
          <w:color w:val="000000" w:themeColor="text1"/>
          <w:spacing w:val="0"/>
          <w:sz w:val="32"/>
          <w:szCs w:val="32"/>
          <w14:textFill>
            <w14:solidFill>
              <w14:schemeClr w14:val="tx1"/>
            </w14:solidFill>
          </w14:textFill>
        </w:rPr>
        <w:t>根据供水</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排水量及上年度实际征收情况，制定本年度污水处理费征收计划，并分解到各执收单位</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使用自来水的居民的污水处理费，委托城镇供水单位在收取水费时一并征收。</w:t>
      </w:r>
    </w:p>
    <w:p>
      <w:pPr>
        <w:keepNext w:val="0"/>
        <w:keepLines w:val="0"/>
        <w:pageBreakBefore w:val="0"/>
        <w:numPr>
          <w:ilvl w:val="0"/>
          <w:numId w:val="0"/>
        </w:numPr>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使用自来水或</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自</w:t>
      </w:r>
      <w:r>
        <w:rPr>
          <w:rFonts w:hint="eastAsia" w:ascii="仿宋_GB2312" w:hAnsi="仿宋_GB2312" w:eastAsia="仿宋_GB2312" w:cs="仿宋_GB2312"/>
          <w:color w:val="000000" w:themeColor="text1"/>
          <w:spacing w:val="0"/>
          <w:sz w:val="32"/>
          <w:szCs w:val="32"/>
          <w14:textFill>
            <w14:solidFill>
              <w14:schemeClr w14:val="tx1"/>
            </w14:solidFill>
          </w14:textFill>
        </w:rPr>
        <w:t>备水源的单位（包括机关、事业单位、个体工商户）的污水处理费，由城市供水单位或水资源管理部门提供</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自</w:t>
      </w:r>
      <w:r>
        <w:rPr>
          <w:rFonts w:hint="eastAsia" w:ascii="仿宋_GB2312" w:hAnsi="仿宋_GB2312" w:eastAsia="仿宋_GB2312" w:cs="仿宋_GB2312"/>
          <w:color w:val="000000" w:themeColor="text1"/>
          <w:spacing w:val="0"/>
          <w:sz w:val="32"/>
          <w:szCs w:val="32"/>
          <w14:textFill>
            <w14:solidFill>
              <w14:schemeClr w14:val="tx1"/>
            </w14:solidFill>
          </w14:textFill>
        </w:rPr>
        <w:t>备水源用户名单和用水量，由</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住房和城乡建设行政主管部门或</w:t>
      </w:r>
      <w:r>
        <w:rPr>
          <w:rFonts w:hint="eastAsia" w:ascii="仿宋_GB2312" w:hAnsi="仿宋_GB2312" w:eastAsia="仿宋_GB2312" w:cs="仿宋_GB2312"/>
          <w:color w:val="000000" w:themeColor="text1"/>
          <w:spacing w:val="0"/>
          <w:sz w:val="32"/>
          <w:szCs w:val="32"/>
          <w14:textFill>
            <w14:solidFill>
              <w14:schemeClr w14:val="tx1"/>
            </w14:solidFill>
          </w14:textFill>
        </w:rPr>
        <w:t>所属的收费管理机构征收。</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第十一条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代收单位应按月向</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住房和城乡建设行政主管部门或</w:t>
      </w:r>
      <w:r>
        <w:rPr>
          <w:rFonts w:hint="eastAsia" w:ascii="仿宋_GB2312" w:hAnsi="仿宋_GB2312" w:eastAsia="仿宋_GB2312" w:cs="仿宋_GB2312"/>
          <w:color w:val="000000" w:themeColor="text1"/>
          <w:spacing w:val="0"/>
          <w:sz w:val="32"/>
          <w:szCs w:val="32"/>
          <w14:textFill>
            <w14:solidFill>
              <w14:schemeClr w14:val="tx1"/>
            </w14:solidFill>
          </w14:textFill>
        </w:rPr>
        <w:t>所属的收费管理机构报送城市污水处理费征收月报表，报表内容应包括：用水量、应收额、实收额和具体欠缴单位明细表。</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第十二条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城市污水处理费代收单位可由</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住房和城乡建设行政主管部门</w:t>
      </w:r>
      <w:r>
        <w:rPr>
          <w:rFonts w:hint="eastAsia" w:ascii="仿宋_GB2312" w:hAnsi="仿宋_GB2312" w:eastAsia="仿宋_GB2312" w:cs="仿宋_GB2312"/>
          <w:color w:val="000000" w:themeColor="text1"/>
          <w:spacing w:val="0"/>
          <w:sz w:val="32"/>
          <w:szCs w:val="32"/>
          <w14:textFill>
            <w14:solidFill>
              <w14:schemeClr w14:val="tx1"/>
            </w14:solidFill>
          </w14:textFill>
        </w:rPr>
        <w:t>会同财政部门审核，共同确定，</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按实际征收额的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8%提取手续费</w:t>
      </w:r>
      <w:r>
        <w:rPr>
          <w:rFonts w:hint="eastAsia" w:ascii="仿宋_GB2312" w:hAnsi="仿宋_GB2312" w:eastAsia="仿宋_GB2312" w:cs="仿宋_GB2312"/>
          <w:color w:val="000000" w:themeColor="text1"/>
          <w:spacing w:val="0"/>
          <w:sz w:val="32"/>
          <w:szCs w:val="32"/>
          <w14:textFill>
            <w14:solidFill>
              <w14:schemeClr w14:val="tx1"/>
            </w14:solidFill>
          </w14:textFill>
        </w:rPr>
        <w:t>，由</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住房和城乡建设行政主管部门</w:t>
      </w:r>
      <w:r>
        <w:rPr>
          <w:rFonts w:hint="eastAsia" w:ascii="仿宋_GB2312" w:hAnsi="仿宋_GB2312" w:eastAsia="仿宋_GB2312" w:cs="仿宋_GB2312"/>
          <w:color w:val="000000" w:themeColor="text1"/>
          <w:spacing w:val="0"/>
          <w:sz w:val="32"/>
          <w:szCs w:val="32"/>
          <w14:textFill>
            <w14:solidFill>
              <w14:schemeClr w14:val="tx1"/>
            </w14:solidFill>
          </w14:textFill>
        </w:rPr>
        <w:t>审核，财政部门核定后拨付。</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第十三条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对拒绝缴费的财政拨款单位，由同级财政部门从其应拨经费中扣缴。</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第十四条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违反本办法规定，排水单位或者个人不缴纳污水处理费的，由</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住房和城乡建设行政主管部门</w:t>
      </w:r>
      <w:r>
        <w:rPr>
          <w:rFonts w:hint="eastAsia" w:ascii="仿宋_GB2312" w:hAnsi="仿宋_GB2312" w:eastAsia="仿宋_GB2312" w:cs="仿宋_GB2312"/>
          <w:color w:val="000000" w:themeColor="text1"/>
          <w:spacing w:val="0"/>
          <w:sz w:val="32"/>
          <w:szCs w:val="32"/>
          <w14:textFill>
            <w14:solidFill>
              <w14:schemeClr w14:val="tx1"/>
            </w14:solidFill>
          </w14:textFill>
        </w:rPr>
        <w:t>责令限期缴纳，逾期拒不缴纳的，处应缴纳污水处理费数额1倍以上3倍以下罚款。</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第十五条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城镇排水主管部门应当将污水处理费的征收依据、征收主体、征收标准、征收程序、法律责任等进行公示。</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城镇排水主管部门和财政部门应当每年向社会公布污水处理费的征收、使用情况。</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第十六条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城市污水处理费征收单位和代征单位应当使用省财政厅统一监制的收费收据，接受监督检查。</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第十七条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除国家和省明确规定外，任何单位和个人不得擅</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自</w:t>
      </w:r>
      <w:r>
        <w:rPr>
          <w:rFonts w:hint="eastAsia" w:ascii="仿宋_GB2312" w:hAnsi="仿宋_GB2312" w:eastAsia="仿宋_GB2312" w:cs="仿宋_GB2312"/>
          <w:color w:val="000000" w:themeColor="text1"/>
          <w:spacing w:val="0"/>
          <w:sz w:val="32"/>
          <w:szCs w:val="32"/>
          <w14:textFill>
            <w14:solidFill>
              <w14:schemeClr w14:val="tx1"/>
            </w14:solidFill>
          </w14:textFill>
        </w:rPr>
        <w:t>减免城市污水处理费。</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第十八条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城市污水处理费按照国家有关规定免征增值税和所得税</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第十九条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审计、财政、发展改革等有关部门要加强污水处理费的征收</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w:t>管理、使用等情况的依法监督。</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城市污水处理费征收、代征单位及工作人员徇私舞弊的，依法给予行政处分；构成犯罪的，依法追究刑事责任。</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w:t>
      </w:r>
      <w:r>
        <w:rPr>
          <w:rFonts w:hint="eastAsia" w:ascii="黑体" w:hAnsi="黑体" w:eastAsia="黑体" w:cs="黑体"/>
          <w:color w:val="000000" w:themeColor="text1"/>
          <w:spacing w:val="0"/>
          <w:sz w:val="32"/>
          <w:szCs w:val="32"/>
          <w:lang w:eastAsia="zh-CN"/>
          <w14:textFill>
            <w14:solidFill>
              <w14:schemeClr w14:val="tx1"/>
            </w14:solidFill>
          </w14:textFill>
        </w:rPr>
        <w:t>一</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本办法由市</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住房和城乡建设局</w:t>
      </w:r>
      <w:r>
        <w:rPr>
          <w:rFonts w:hint="eastAsia" w:ascii="仿宋_GB2312" w:hAnsi="仿宋_GB2312" w:eastAsia="仿宋_GB2312" w:cs="仿宋_GB2312"/>
          <w:color w:val="000000" w:themeColor="text1"/>
          <w:spacing w:val="0"/>
          <w:sz w:val="32"/>
          <w:szCs w:val="32"/>
          <w14:textFill>
            <w14:solidFill>
              <w14:schemeClr w14:val="tx1"/>
            </w14:solidFill>
          </w14:textFill>
        </w:rPr>
        <w:t>负责解释</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pacing w:line="600" w:lineRule="exact"/>
        <w:ind w:left="0" w:firstLine="624" w:firstLineChars="200"/>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w:t>
      </w:r>
      <w:r>
        <w:rPr>
          <w:rFonts w:hint="eastAsia" w:ascii="黑体" w:hAnsi="黑体" w:eastAsia="黑体" w:cs="黑体"/>
          <w:color w:val="000000" w:themeColor="text1"/>
          <w:spacing w:val="0"/>
          <w:sz w:val="32"/>
          <w:szCs w:val="32"/>
          <w:lang w:eastAsia="zh-CN"/>
          <w14:textFill>
            <w14:solidFill>
              <w14:schemeClr w14:val="tx1"/>
            </w14:solidFill>
          </w14:textFill>
        </w:rPr>
        <w:t>二</w:t>
      </w:r>
      <w:r>
        <w:rPr>
          <w:rFonts w:hint="eastAsia" w:ascii="黑体" w:hAnsi="黑体" w:eastAsia="黑体" w:cs="黑体"/>
          <w:color w:val="000000" w:themeColor="text1"/>
          <w:spacing w:val="0"/>
          <w:sz w:val="32"/>
          <w:szCs w:val="32"/>
          <w14:textFill>
            <w14:solidFill>
              <w14:schemeClr w14:val="tx1"/>
            </w14:solidFill>
          </w14:textFill>
        </w:rPr>
        <w:t>条</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14:textFill>
            <w14:solidFill>
              <w14:schemeClr w14:val="tx1"/>
            </w14:solidFill>
          </w14:textFill>
        </w:rPr>
        <w:t>本办法自印发之日起施行</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有效期5年</w:t>
      </w:r>
      <w:r>
        <w:rPr>
          <w:rFonts w:hint="eastAsia" w:ascii="仿宋_GB2312" w:hAnsi="仿宋_GB2312" w:eastAsia="仿宋_GB2312" w:cs="仿宋_GB2312"/>
          <w:color w:val="000000" w:themeColor="text1"/>
          <w:spacing w:val="0"/>
          <w:sz w:val="32"/>
          <w:szCs w:val="32"/>
          <w14:textFill>
            <w14:solidFill>
              <w14:schemeClr w14:val="tx1"/>
            </w14:solidFill>
          </w14:textFill>
        </w:rPr>
        <w:t>。</w: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7018020</wp:posOffset>
                </wp:positionH>
                <wp:positionV relativeFrom="paragraph">
                  <wp:posOffset>1863725</wp:posOffset>
                </wp:positionV>
                <wp:extent cx="530225" cy="812800"/>
                <wp:effectExtent l="0" t="0" r="3175" b="10160"/>
                <wp:wrapNone/>
                <wp:docPr id="45" name="文本框 45"/>
                <wp:cNvGraphicFramePr/>
                <a:graphic xmlns:a="http://schemas.openxmlformats.org/drawingml/2006/main">
                  <a:graphicData uri="http://schemas.microsoft.com/office/word/2010/wordprocessingShape">
                    <wps:wsp>
                      <wps:cNvSpPr txBox="true"/>
                      <wps:spPr>
                        <a:xfrm>
                          <a:off x="0" y="0"/>
                          <a:ext cx="530225" cy="812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宋体" w:hAnsi="宋体" w:eastAsia="宋体" w:cs="宋体"/>
                                <w:sz w:val="13"/>
                                <w:szCs w:val="13"/>
                                <w:lang w:val="en-US" w:eastAsia="zh-CN"/>
                              </w:rPr>
                            </w:pPr>
                            <w:r>
                              <w:rPr>
                                <w:rFonts w:hint="eastAsia" w:ascii="宋体" w:hAnsi="宋体" w:eastAsia="宋体" w:cs="宋体"/>
                                <w:color w:val="000000"/>
                                <w:kern w:val="0"/>
                                <w:sz w:val="13"/>
                                <w:szCs w:val="13"/>
                                <w:lang w:val="en-US" w:eastAsia="zh-CN" w:bidi="ar"/>
                              </w:rPr>
                              <w:t>经济开发区管理委员会</w:t>
                            </w:r>
                            <w:r>
                              <w:rPr>
                                <w:rFonts w:hint="eastAsia" w:ascii="宋体" w:hAnsi="宋体" w:eastAsia="宋体" w:cs="宋体"/>
                                <w:color w:val="000000"/>
                                <w:kern w:val="0"/>
                                <w:sz w:val="13"/>
                                <w:szCs w:val="13"/>
                                <w:lang w:bidi="ar"/>
                              </w:rPr>
                              <w:t>、</w:t>
                            </w:r>
                            <w:r>
                              <w:rPr>
                                <w:rFonts w:hint="eastAsia" w:ascii="宋体" w:hAnsi="宋体" w:eastAsia="宋体" w:cs="宋体"/>
                                <w:color w:val="000000"/>
                                <w:kern w:val="0"/>
                                <w:sz w:val="13"/>
                                <w:szCs w:val="13"/>
                                <w:lang w:val="en-US" w:eastAsia="zh-CN" w:bidi="ar"/>
                              </w:rPr>
                              <w:t>市工业和信息化局</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552.6pt;margin-top:146.75pt;height:64pt;width:41.75pt;z-index:251665408;mso-width-relative:page;mso-height-relative:page;" fillcolor="#FFFFFF [3201]" filled="t" stroked="f" coordsize="21600,21600" o:gfxdata="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FgAAAGRycy9QSwECFAAUAAAACACHTuJAisjrRNgAAAANAQAA&#10;DwAAAAAAAAABACAAAAA4AAAAZHJzL2Rvd25yZXYueG1sUEsBAhQAFAAAAAgAh07iQFpsTYE8AgAA&#10;VAQAAA4AAAAAAAAAAQAgAAAAPQEAAGRycy9lMm9Eb2MueG1sUEsFBgAAAAAGAAYAWQEAAOsFAAAA&#10;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宋体" w:hAnsi="宋体" w:eastAsia="宋体" w:cs="宋体"/>
                          <w:sz w:val="13"/>
                          <w:szCs w:val="13"/>
                          <w:lang w:val="en-US" w:eastAsia="zh-CN"/>
                        </w:rPr>
                      </w:pPr>
                      <w:r>
                        <w:rPr>
                          <w:rFonts w:hint="eastAsia" w:ascii="宋体" w:hAnsi="宋体" w:eastAsia="宋体" w:cs="宋体"/>
                          <w:color w:val="000000"/>
                          <w:kern w:val="0"/>
                          <w:sz w:val="13"/>
                          <w:szCs w:val="13"/>
                          <w:lang w:val="en-US" w:eastAsia="zh-CN" w:bidi="ar"/>
                        </w:rPr>
                        <w:t>经济开发区管理委员会</w:t>
                      </w:r>
                      <w:r>
                        <w:rPr>
                          <w:rFonts w:hint="eastAsia" w:ascii="宋体" w:hAnsi="宋体" w:eastAsia="宋体" w:cs="宋体"/>
                          <w:color w:val="000000"/>
                          <w:kern w:val="0"/>
                          <w:sz w:val="13"/>
                          <w:szCs w:val="13"/>
                          <w:lang w:bidi="ar"/>
                        </w:rPr>
                        <w:t>、</w:t>
                      </w:r>
                      <w:r>
                        <w:rPr>
                          <w:rFonts w:hint="eastAsia" w:ascii="宋体" w:hAnsi="宋体" w:eastAsia="宋体" w:cs="宋体"/>
                          <w:color w:val="000000"/>
                          <w:kern w:val="0"/>
                          <w:sz w:val="13"/>
                          <w:szCs w:val="13"/>
                          <w:lang w:val="en-US" w:eastAsia="zh-CN" w:bidi="ar"/>
                        </w:rPr>
                        <w:t>市工业和信息化局</w:t>
                      </w:r>
                    </w:p>
                  </w:txbxContent>
                </v:textbox>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6995795</wp:posOffset>
                </wp:positionH>
                <wp:positionV relativeFrom="paragraph">
                  <wp:posOffset>654685</wp:posOffset>
                </wp:positionV>
                <wp:extent cx="574675" cy="681990"/>
                <wp:effectExtent l="0" t="0" r="4445" b="3810"/>
                <wp:wrapNone/>
                <wp:docPr id="48" name="文本框 48"/>
                <wp:cNvGraphicFramePr/>
                <a:graphic xmlns:a="http://schemas.openxmlformats.org/drawingml/2006/main">
                  <a:graphicData uri="http://schemas.microsoft.com/office/word/2010/wordprocessingShape">
                    <wps:wsp>
                      <wps:cNvSpPr txBox="true"/>
                      <wps:spPr>
                        <a:xfrm>
                          <a:off x="0" y="0"/>
                          <a:ext cx="574675" cy="6819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自然资源、住建、人防等部门</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550.85pt;margin-top:51.55pt;height:53.7pt;width:45.25pt;z-index:251663360;mso-width-relative:page;mso-height-relative:page;" fillcolor="#FFFFFF [3201]" filled="t" stroked="f" coordsize="21600,21600" o:gfxdata="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BYAAABkcnMvUEsBAhQAFAAAAAgAh07iQLV8V/fVAAAADQEAAA8A&#10;AAAAAAAAAQAgAAAAOAAAAGRycy9kb3ducmV2LnhtbFBLAQIUABQAAAAIAIdO4kCvyc7CPQIAAFQE&#10;AAAOAAAAAAAAAAEAIAAAADoBAABkcnMvZTJvRG9jLnhtbFBLBQYAAAAABgAGAFkBAADp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自然资源、住建、人防等部门</w:t>
                      </w:r>
                    </w:p>
                  </w:txbxContent>
                </v:textbox>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7655560</wp:posOffset>
                </wp:positionH>
                <wp:positionV relativeFrom="paragraph">
                  <wp:posOffset>167640</wp:posOffset>
                </wp:positionV>
                <wp:extent cx="41910" cy="4102100"/>
                <wp:effectExtent l="8255" t="0" r="56515" b="12700"/>
                <wp:wrapNone/>
                <wp:docPr id="68" name="直接箭头连接符 68"/>
                <wp:cNvGraphicFramePr/>
                <a:graphic xmlns:a="http://schemas.openxmlformats.org/drawingml/2006/main">
                  <a:graphicData uri="http://schemas.microsoft.com/office/word/2010/wordprocessingShape">
                    <wps:wsp>
                      <wps:cNvCnPr/>
                      <wps:spPr>
                        <a:xfrm>
                          <a:off x="0" y="0"/>
                          <a:ext cx="41910" cy="41021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602.8pt;margin-top:13.2pt;height:323pt;width:3.3pt;z-index:251661312;mso-width-relative:page;mso-height-relative:page;" filled="f" stroked="t" coordsize="21600,21600" o:gfxdata="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CjxP122gAAAAwBAAAP&#10;AAAAAAAAAAEAIAAAADgAAABkcnMvZG93bnJldi54bWxQSwECFAAUAAAACACHTuJA2gfY5QACAAC4&#10;AwAADgAAAAAAAAABACAAAAA/AQAAZHJzL2Uyb0RvYy54bWxQSwUGAAAAAAYABgBZAQAAsQUAAAAA&#10;">
                <v:fill on="f" focussize="0,0"/>
                <v:stroke color="#4A7EBB [3204]" joinstyle="round" endarrow="open"/>
                <v:imagedata o:title=""/>
                <o:lock v:ext="edit" aspectratio="f"/>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7875270</wp:posOffset>
                </wp:positionH>
                <wp:positionV relativeFrom="paragraph">
                  <wp:posOffset>3862070</wp:posOffset>
                </wp:positionV>
                <wp:extent cx="1103630" cy="485775"/>
                <wp:effectExtent l="0" t="0" r="8890" b="1905"/>
                <wp:wrapNone/>
                <wp:docPr id="47" name="文本框 47"/>
                <wp:cNvGraphicFramePr/>
                <a:graphic xmlns:a="http://schemas.openxmlformats.org/drawingml/2006/main">
                  <a:graphicData uri="http://schemas.microsoft.com/office/word/2010/wordprocessingShape">
                    <wps:wsp>
                      <wps:cNvSpPr txBox="true"/>
                      <wps:spPr>
                        <a:xfrm>
                          <a:off x="0" y="0"/>
                          <a:ext cx="1103630" cy="4857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sz w:val="13"/>
                                <w:szCs w:val="13"/>
                              </w:rPr>
                              <w:t>开展企业绩效与项目绩效综合评价</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620.1pt;margin-top:304.1pt;height:38.25pt;width:86.9pt;z-index:251667456;mso-width-relative:page;mso-height-relative:page;" fillcolor="#FFFFFF [3201]" filled="t" stroked="f" coordsize="21600,21600" o:gfxdata="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FgAAAGRycy9QSwECFAAUAAAACACHTuJAwBNS69YAAAANAQAADwAA&#10;AAAAAAABACAAAAA4AAAAZHJzL2Rvd25yZXYueG1sUEsBAhQAFAAAAAgAh07iQLqGMOE7AgAAVQQA&#10;AA4AAAAAAAAAAQAgAAAAOwEAAGRycy9lMm9Eb2MueG1sUEsFBgAAAAAGAAYAWQEAAOg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sz w:val="13"/>
                          <w:szCs w:val="13"/>
                        </w:rPr>
                        <w:t>开展企业绩效与项目绩效综合评价</w:t>
                      </w:r>
                    </w:p>
                  </w:txbxContent>
                </v:textbox>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7839075</wp:posOffset>
                </wp:positionH>
                <wp:positionV relativeFrom="paragraph">
                  <wp:posOffset>2798445</wp:posOffset>
                </wp:positionV>
                <wp:extent cx="1147445" cy="896620"/>
                <wp:effectExtent l="0" t="0" r="10795" b="2540"/>
                <wp:wrapNone/>
                <wp:docPr id="44" name="文本框 44"/>
                <wp:cNvGraphicFramePr/>
                <a:graphic xmlns:a="http://schemas.openxmlformats.org/drawingml/2006/main">
                  <a:graphicData uri="http://schemas.microsoft.com/office/word/2010/wordprocessingShape">
                    <wps:wsp>
                      <wps:cNvSpPr txBox="true"/>
                      <wps:spPr>
                        <a:xfrm>
                          <a:off x="0" y="0"/>
                          <a:ext cx="1147445" cy="8966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签约项目落地转换率、项目备案开工率、新开工数量及投资强度、竣工投产率开展评估</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617.25pt;margin-top:220.35pt;height:70.6pt;width:90.35pt;z-index:251666432;mso-width-relative:page;mso-height-relative:page;" fillcolor="#FFFFFF [3201]" filled="t" stroked="f" coordsize="21600,21600" o:gfxdata="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BYAAABkcnMvUEsBAhQAFAAAAAgAh07iQBgsPjDXAAAADQEA&#10;AA8AAAAAAAAAAQAgAAAAOAAAAGRycy9kb3ducmV2LnhtbFBLAQIUABQAAAAIAIdO4kCFTw/dPgIA&#10;AFUEAAAOAAAAAAAAAAEAIAAAADw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签约项目落地转换率、项目备案开工率、新开工数量及投资强度、竣工投产率开展评估</w:t>
                      </w:r>
                    </w:p>
                  </w:txbxContent>
                </v:textbox>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7835900</wp:posOffset>
                </wp:positionH>
                <wp:positionV relativeFrom="paragraph">
                  <wp:posOffset>1801495</wp:posOffset>
                </wp:positionV>
                <wp:extent cx="1141730" cy="894080"/>
                <wp:effectExtent l="0" t="0" r="1270" b="5080"/>
                <wp:wrapNone/>
                <wp:docPr id="46" name="文本框 46"/>
                <wp:cNvGraphicFramePr/>
                <a:graphic xmlns:a="http://schemas.openxmlformats.org/drawingml/2006/main">
                  <a:graphicData uri="http://schemas.microsoft.com/office/word/2010/wordprocessingShape">
                    <wps:wsp>
                      <wps:cNvSpPr txBox="true"/>
                      <wps:spPr>
                        <a:xfrm>
                          <a:off x="0" y="0"/>
                          <a:ext cx="1141730" cy="8940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跟踪重点企业生产订单、原材料价格、产业链供应链、市场销售、资金运行等变化情况，及时预警和跟进服务</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617pt;margin-top:141.85pt;height:70.4pt;width:89.9pt;z-index:251664384;mso-width-relative:page;mso-height-relative:page;" fillcolor="#FFFFFF [3201]" filled="t" stroked="f" coordsize="21600,21600" o:gfxdata="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BYAAABkcnMvUEsBAhQAFAAAAAgAh07iQI7VocHXAAAADQEA&#10;AA8AAAAAAAAAAQAgAAAAOAAAAGRycy9kb3ducmV2LnhtbFBLAQIUABQAAAAIAIdO4kCg3KumPgIA&#10;AFUEAAAOAAAAAAAAAAEAIAAAADw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跟踪重点企业生产订单、原材料价格、产业链供应链、市场销售、资金运行等变化情况，及时预警和跟进服务</w:t>
                      </w:r>
                    </w:p>
                  </w:txbxContent>
                </v:textbox>
              </v:shape>
            </w:pict>
          </mc:Fallback>
        </mc:AlternateContent>
      </w:r>
      <w:r>
        <w:rPr>
          <w:rFonts w:hint="eastAsia" w:ascii="仿宋_GB2312" w:hAnsi="仿宋_GB2312" w:eastAsia="仿宋_GB2312" w:cs="仿宋_GB2312"/>
          <w:color w:val="000000" w:themeColor="text1"/>
          <w:spacing w:val="0"/>
          <w:sz w:val="32"/>
          <w:szCs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7808595</wp:posOffset>
                </wp:positionH>
                <wp:positionV relativeFrom="paragraph">
                  <wp:posOffset>308610</wp:posOffset>
                </wp:positionV>
                <wp:extent cx="1127125" cy="1245235"/>
                <wp:effectExtent l="0" t="0" r="635" b="4445"/>
                <wp:wrapNone/>
                <wp:docPr id="50" name="文本框 50"/>
                <wp:cNvGraphicFramePr/>
                <a:graphic xmlns:a="http://schemas.openxmlformats.org/drawingml/2006/main">
                  <a:graphicData uri="http://schemas.microsoft.com/office/word/2010/wordprocessingShape">
                    <wps:wsp>
                      <wps:cNvSpPr txBox="true"/>
                      <wps:spPr>
                        <a:xfrm>
                          <a:off x="0" y="0"/>
                          <a:ext cx="1127125" cy="12452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负责联合验收，规划土地核实、消防验收、竣工验收质量监督、档案验收、人防工程竣工验收核实 （含易地项目）和竣工验收备案等方面进行并联审批、联合验收</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614.85pt;margin-top:24.3pt;height:98.05pt;width:88.75pt;z-index:251662336;mso-width-relative:page;mso-height-relative:page;" fillcolor="#FFFFFF [3201]" filled="t" stroked="f" coordsize="21600,21600" o:gfxdata="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BYAAABkcnMvUEsBAhQAFAAAAAgAh07iQEzaj7HWAAAADAEAAA8A&#10;AAAAAAAAAQAgAAAAOAAAAGRycy9kb3ducmV2LnhtbFBLAQIUABQAAAAIAIdO4kDw+Oh9PAIAAFYE&#10;AAAOAAAAAAAAAAEAIAAAADsBAABkcnMvZTJvRG9jLnhtbFBLBQYAAAAABgAGAFkBAADp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hAnsi="宋体" w:eastAsia="宋体" w:cs="宋体"/>
                          <w:sz w:val="13"/>
                          <w:szCs w:val="13"/>
                        </w:rPr>
                      </w:pPr>
                      <w:r>
                        <w:rPr>
                          <w:rFonts w:hint="eastAsia" w:ascii="宋体" w:hAnsi="宋体" w:eastAsia="宋体" w:cs="宋体"/>
                          <w:color w:val="000000"/>
                          <w:kern w:val="0"/>
                          <w:sz w:val="13"/>
                          <w:szCs w:val="13"/>
                          <w:lang w:bidi="ar"/>
                        </w:rPr>
                        <w:t>负责联合验收，规划土地核实、消防验收、竣工验收质量监督、档案验收、人防工程竣工验收核实 （含易地项目）和竣工验收备案等方面进行并联审批、联合验收</w:t>
                      </w:r>
                    </w:p>
                  </w:txbxContent>
                </v:textbox>
              </v:shape>
            </w:pict>
          </mc:Fallback>
        </mc:AlternateContent>
      </w:r>
    </w:p>
    <w:p>
      <w:pPr>
        <w:pStyle w:val="2"/>
        <w:keepNext w:val="0"/>
        <w:keepLines w:val="0"/>
        <w:pageBreakBefore w:val="0"/>
        <w:kinsoku/>
        <w:wordWrap/>
        <w:overflowPunct/>
        <w:topLinePunct w:val="0"/>
        <w:autoSpaceDE/>
        <w:autoSpaceDN/>
        <w:bidi w:val="0"/>
        <w:adjustRightInd/>
        <w:spacing w:line="600" w:lineRule="exact"/>
        <w:ind w:left="0"/>
        <w:rPr>
          <w:rFonts w:hint="eastAsia"/>
          <w:spacing w:val="0"/>
        </w:rPr>
      </w:pPr>
    </w:p>
    <w:p>
      <w:pPr>
        <w:pStyle w:val="2"/>
        <w:keepNext w:val="0"/>
        <w:keepLines w:val="0"/>
        <w:pageBreakBefore w:val="0"/>
        <w:kinsoku/>
        <w:wordWrap/>
        <w:overflowPunct/>
        <w:topLinePunct w:val="0"/>
        <w:autoSpaceDE/>
        <w:autoSpaceDN/>
        <w:bidi w:val="0"/>
        <w:adjustRightInd/>
        <w:spacing w:line="600" w:lineRule="exact"/>
        <w:ind w:left="0"/>
        <w:rPr>
          <w:rFonts w:hint="eastAsia" w:ascii="仿宋_GB2312" w:hAnsi="仿宋_GB2312" w:eastAsia="仿宋_GB2312" w:cs="仿宋_GB2312"/>
          <w:color w:val="000000" w:themeColor="text1"/>
          <w:spacing w:val="0"/>
          <w:sz w:val="32"/>
          <w:szCs w:val="32"/>
          <w14:textFill>
            <w14:solidFill>
              <w14:schemeClr w14:val="tx1"/>
            </w14:solidFill>
          </w14:textFill>
        </w:rPr>
      </w:pPr>
    </w:p>
    <w:p>
      <w:pPr>
        <w:pStyle w:val="2"/>
        <w:keepNext w:val="0"/>
        <w:keepLines w:val="0"/>
        <w:pageBreakBefore w:val="0"/>
        <w:kinsoku/>
        <w:wordWrap/>
        <w:overflowPunct/>
        <w:topLinePunct w:val="0"/>
        <w:autoSpaceDE/>
        <w:autoSpaceDN/>
        <w:bidi w:val="0"/>
        <w:adjustRightInd/>
        <w:spacing w:line="600" w:lineRule="exact"/>
        <w:ind w:left="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tbl>
      <w:tblPr>
        <w:tblStyle w:val="16"/>
        <w:tblpPr w:leftFromText="180" w:rightFromText="180" w:vertAnchor="text" w:horzAnchor="page" w:tblpXSpec="center" w:tblpY="638"/>
        <w:tblOverlap w:val="never"/>
        <w:tblW w:w="0" w:type="auto"/>
        <w:jc w:val="center"/>
        <w:tblBorders>
          <w:top w:val="single" w:color="000000" w:sz="18" w:space="0"/>
          <w:left w:val="none" w:color="auto" w:sz="0" w:space="0"/>
          <w:bottom w:val="single" w:color="000000" w:sz="18" w:space="0"/>
          <w:right w:val="none" w:color="auto" w:sz="0" w:space="0"/>
          <w:insideH w:val="single" w:color="000000" w:sz="4" w:space="0"/>
          <w:insideV w:val="none" w:color="auto" w:sz="0" w:space="0"/>
        </w:tblBorders>
        <w:tblLayout w:type="autofit"/>
        <w:tblCellMar>
          <w:top w:w="0" w:type="dxa"/>
          <w:left w:w="108" w:type="dxa"/>
          <w:bottom w:w="0" w:type="dxa"/>
          <w:right w:w="108" w:type="dxa"/>
        </w:tblCellMar>
      </w:tblPr>
      <w:tblGrid>
        <w:gridCol w:w="8840"/>
      </w:tblGrid>
      <w:tr>
        <w:tblPrEx>
          <w:tblBorders>
            <w:top w:val="single" w:color="000000" w:sz="18" w:space="0"/>
            <w:left w:val="none" w:color="auto" w:sz="0" w:space="0"/>
            <w:bottom w:val="single" w:color="000000" w:sz="18"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90" w:hRule="atLeast"/>
          <w:jc w:val="center"/>
        </w:trPr>
        <w:tc>
          <w:tcPr>
            <w:tcW w:w="8840" w:type="dxa"/>
            <w:tcBorders>
              <w:tl2br w:val="nil"/>
              <w:tr2bl w:val="nil"/>
            </w:tcBorders>
            <w:noWrap w:val="0"/>
            <w:vAlign w:val="center"/>
          </w:tcPr>
          <w:p>
            <w:pPr>
              <w:ind w:left="1084" w:leftChars="133" w:hanging="816" w:hangingChars="300"/>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抄送：市委各部委，武装部，人大办，政协办，纪检办，法院</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检察院，铁能公司，东北煤田地质局101勘探队。</w:t>
            </w:r>
          </w:p>
        </w:tc>
      </w:tr>
      <w:tr>
        <w:tblPrEx>
          <w:tblBorders>
            <w:top w:val="single" w:color="000000" w:sz="18" w:space="0"/>
            <w:left w:val="none" w:color="auto" w:sz="0" w:space="0"/>
            <w:bottom w:val="single" w:color="000000" w:sz="18" w:space="0"/>
            <w:right w:val="none" w:color="auto" w:sz="0" w:space="0"/>
            <w:insideH w:val="single" w:color="000000" w:sz="4" w:space="0"/>
            <w:insideV w:val="none" w:color="auto" w:sz="0" w:space="0"/>
          </w:tblBorders>
          <w:tblCellMar>
            <w:top w:w="0" w:type="dxa"/>
            <w:left w:w="108" w:type="dxa"/>
            <w:bottom w:w="0" w:type="dxa"/>
            <w:right w:w="108" w:type="dxa"/>
          </w:tblCellMar>
        </w:tblPrEx>
        <w:trPr>
          <w:trHeight w:val="562" w:hRule="atLeast"/>
          <w:jc w:val="center"/>
        </w:trPr>
        <w:tc>
          <w:tcPr>
            <w:tcW w:w="8840" w:type="dxa"/>
            <w:tcBorders>
              <w:tl2br w:val="nil"/>
              <w:tr2bl w:val="nil"/>
            </w:tcBorders>
            <w:noWrap w:val="0"/>
            <w:vAlign w:val="center"/>
          </w:tcPr>
          <w:p>
            <w:pPr>
              <w:ind w:firstLine="272" w:firstLineChars="100"/>
              <w:rPr>
                <w:rFonts w:hint="eastAsia" w:ascii="仿宋_GB2312" w:hAnsi="仿宋_GB2312" w:eastAsia="仿宋_GB2312" w:cs="仿宋_GB2312"/>
                <w:color w:val="000000" w:themeColor="text1"/>
                <w:sz w:val="32"/>
                <w:szCs w:val="32"/>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调兵山市人民政府办公室                  2023年10月27日印发</w:t>
            </w:r>
          </w:p>
        </w:tc>
      </w:tr>
    </w:tbl>
    <w:p>
      <w:pPr>
        <w:pStyle w:val="2"/>
        <w:rPr>
          <w:rFonts w:hint="eastAsia"/>
        </w:rPr>
      </w:pPr>
    </w:p>
    <w:p>
      <w:pPr>
        <w:pStyle w:val="2"/>
        <w:rPr>
          <w:rFonts w:hint="eastAsia"/>
          <w:lang w:val="en-US" w:eastAsia="zh-CN"/>
        </w:rPr>
      </w:pPr>
    </w:p>
    <w:sectPr>
      <w:headerReference r:id="rId3" w:type="default"/>
      <w:footerReference r:id="rId4" w:type="default"/>
      <w:pgSz w:w="11906" w:h="16838"/>
      <w:pgMar w:top="2098" w:right="1474" w:bottom="1984" w:left="1587" w:header="851" w:footer="992" w:gutter="0"/>
      <w:pgNumType w:fmt="decimal"/>
      <w:cols w:space="0" w:num="1"/>
      <w:rtlGutter w:val="0"/>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11"/>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upright="false">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aGmCS9MAAAAFAQAADwAA&#10;AAAAAAABACAAAAA4AAAAZHJzL2Rvd25yZXYueG1sUEsBAhQAFAAAAAgAh07iQE+xA4fMAQAAcwMA&#10;AA4AAAAAAAAAAQAgAAAAOAEAAGRycy9lMm9Eb2MueG1sUEsFBgAAAAAGAAYAWQEAAHYFAAAAAA==&#10;">
              <v:fill on="f" focussize="0,0"/>
              <v:stroke on="f" weight="1.25pt"/>
              <v:imagedata o:title=""/>
              <o:lock v:ext="edit" aspectratio="f"/>
              <v:textbox inset="0mm,0mm,0mm,0mm" style="mso-fit-shape-to-text:t;">
                <w:txbxContent>
                  <w:p>
                    <w:pPr>
                      <w:pStyle w:val="11"/>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1"/>
  <w:drawingGridVerticalSpacing w:val="290"/>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5MTAxNzZmYjZjYmMyZGU4NjMyY2NhYmVhNDc3ZTcifQ=="/>
  </w:docVars>
  <w:rsids>
    <w:rsidRoot w:val="00172A27"/>
    <w:rsid w:val="0000344A"/>
    <w:rsid w:val="00044849"/>
    <w:rsid w:val="000514FA"/>
    <w:rsid w:val="0005739F"/>
    <w:rsid w:val="00066D6C"/>
    <w:rsid w:val="000E4E41"/>
    <w:rsid w:val="000F3AD4"/>
    <w:rsid w:val="00127BC2"/>
    <w:rsid w:val="00171BB8"/>
    <w:rsid w:val="0019184C"/>
    <w:rsid w:val="001A2416"/>
    <w:rsid w:val="001D75C0"/>
    <w:rsid w:val="001E083E"/>
    <w:rsid w:val="001E437F"/>
    <w:rsid w:val="001E63AC"/>
    <w:rsid w:val="001E6747"/>
    <w:rsid w:val="00223B3F"/>
    <w:rsid w:val="00225E9B"/>
    <w:rsid w:val="00226CD9"/>
    <w:rsid w:val="00283C1B"/>
    <w:rsid w:val="002947CF"/>
    <w:rsid w:val="00295821"/>
    <w:rsid w:val="002E0C3D"/>
    <w:rsid w:val="00370BB5"/>
    <w:rsid w:val="0038606B"/>
    <w:rsid w:val="0039389D"/>
    <w:rsid w:val="003E434A"/>
    <w:rsid w:val="00400FDD"/>
    <w:rsid w:val="00405BF6"/>
    <w:rsid w:val="004112C7"/>
    <w:rsid w:val="004B4962"/>
    <w:rsid w:val="004D256D"/>
    <w:rsid w:val="004E6417"/>
    <w:rsid w:val="0053361B"/>
    <w:rsid w:val="0055703D"/>
    <w:rsid w:val="0057687C"/>
    <w:rsid w:val="005B4323"/>
    <w:rsid w:val="005D3937"/>
    <w:rsid w:val="006010FE"/>
    <w:rsid w:val="00605350"/>
    <w:rsid w:val="00676163"/>
    <w:rsid w:val="006D4DBB"/>
    <w:rsid w:val="007258E6"/>
    <w:rsid w:val="00734CA4"/>
    <w:rsid w:val="007616AB"/>
    <w:rsid w:val="007663D9"/>
    <w:rsid w:val="007676A9"/>
    <w:rsid w:val="00794179"/>
    <w:rsid w:val="007C6420"/>
    <w:rsid w:val="007D32D7"/>
    <w:rsid w:val="00822F90"/>
    <w:rsid w:val="00827227"/>
    <w:rsid w:val="00863A87"/>
    <w:rsid w:val="00872CC1"/>
    <w:rsid w:val="008A7AEC"/>
    <w:rsid w:val="008D2893"/>
    <w:rsid w:val="008D6E66"/>
    <w:rsid w:val="00950A5E"/>
    <w:rsid w:val="009548FB"/>
    <w:rsid w:val="00967220"/>
    <w:rsid w:val="009749A7"/>
    <w:rsid w:val="00977CF6"/>
    <w:rsid w:val="009D60D3"/>
    <w:rsid w:val="00A11142"/>
    <w:rsid w:val="00A214F3"/>
    <w:rsid w:val="00A21E21"/>
    <w:rsid w:val="00A55C57"/>
    <w:rsid w:val="00A652C9"/>
    <w:rsid w:val="00A70207"/>
    <w:rsid w:val="00B04AE5"/>
    <w:rsid w:val="00B2436D"/>
    <w:rsid w:val="00B24590"/>
    <w:rsid w:val="00B40E7A"/>
    <w:rsid w:val="00B7451A"/>
    <w:rsid w:val="00B90EE9"/>
    <w:rsid w:val="00B9117E"/>
    <w:rsid w:val="00BF1AB7"/>
    <w:rsid w:val="00C438E4"/>
    <w:rsid w:val="00C60B27"/>
    <w:rsid w:val="00C820CA"/>
    <w:rsid w:val="00C91351"/>
    <w:rsid w:val="00C966C6"/>
    <w:rsid w:val="00CD053A"/>
    <w:rsid w:val="00D3422D"/>
    <w:rsid w:val="00DD2665"/>
    <w:rsid w:val="00EB0BC8"/>
    <w:rsid w:val="00EF2D57"/>
    <w:rsid w:val="00EF3FCA"/>
    <w:rsid w:val="00F0110C"/>
    <w:rsid w:val="00F0507B"/>
    <w:rsid w:val="00F11788"/>
    <w:rsid w:val="00F379BC"/>
    <w:rsid w:val="00F71BD6"/>
    <w:rsid w:val="00F811E1"/>
    <w:rsid w:val="00F82F4B"/>
    <w:rsid w:val="00F9436B"/>
    <w:rsid w:val="00FA1A8E"/>
    <w:rsid w:val="00FC4AE1"/>
    <w:rsid w:val="00FD52A0"/>
    <w:rsid w:val="00FE43B6"/>
    <w:rsid w:val="01680F28"/>
    <w:rsid w:val="01F47C59"/>
    <w:rsid w:val="026260FE"/>
    <w:rsid w:val="02707853"/>
    <w:rsid w:val="02FC0103"/>
    <w:rsid w:val="03895F6B"/>
    <w:rsid w:val="03A552AF"/>
    <w:rsid w:val="03F5008A"/>
    <w:rsid w:val="03FB01D7"/>
    <w:rsid w:val="041651F4"/>
    <w:rsid w:val="058A5E9A"/>
    <w:rsid w:val="06A64B43"/>
    <w:rsid w:val="06BB748E"/>
    <w:rsid w:val="08365E65"/>
    <w:rsid w:val="08614888"/>
    <w:rsid w:val="08B73553"/>
    <w:rsid w:val="08EA6B3B"/>
    <w:rsid w:val="090F731C"/>
    <w:rsid w:val="0939006E"/>
    <w:rsid w:val="09490FA5"/>
    <w:rsid w:val="0956347A"/>
    <w:rsid w:val="096C0DA7"/>
    <w:rsid w:val="0A03446D"/>
    <w:rsid w:val="0A535B50"/>
    <w:rsid w:val="0AA1554A"/>
    <w:rsid w:val="0AB20A86"/>
    <w:rsid w:val="0C28640C"/>
    <w:rsid w:val="0C5123A2"/>
    <w:rsid w:val="0C941614"/>
    <w:rsid w:val="0CF63E15"/>
    <w:rsid w:val="0DD32EEB"/>
    <w:rsid w:val="0EC478A4"/>
    <w:rsid w:val="0EEF4EAD"/>
    <w:rsid w:val="0F2B387A"/>
    <w:rsid w:val="0F8A1E48"/>
    <w:rsid w:val="0F9F3B9F"/>
    <w:rsid w:val="0FDE750E"/>
    <w:rsid w:val="10394744"/>
    <w:rsid w:val="10A57392"/>
    <w:rsid w:val="10CF4007"/>
    <w:rsid w:val="11593B9B"/>
    <w:rsid w:val="119255E3"/>
    <w:rsid w:val="119E7F30"/>
    <w:rsid w:val="1204114F"/>
    <w:rsid w:val="12B04A66"/>
    <w:rsid w:val="12E2509F"/>
    <w:rsid w:val="130A0F25"/>
    <w:rsid w:val="14E823AD"/>
    <w:rsid w:val="150B0B9B"/>
    <w:rsid w:val="151A1B46"/>
    <w:rsid w:val="15511B43"/>
    <w:rsid w:val="15904F94"/>
    <w:rsid w:val="16650065"/>
    <w:rsid w:val="171E1ADE"/>
    <w:rsid w:val="17AB13C6"/>
    <w:rsid w:val="17CB0515"/>
    <w:rsid w:val="18493B1F"/>
    <w:rsid w:val="19AE1FBF"/>
    <w:rsid w:val="1A134CEA"/>
    <w:rsid w:val="1A6B5B32"/>
    <w:rsid w:val="1B4D72F6"/>
    <w:rsid w:val="1B973FCB"/>
    <w:rsid w:val="1B9E629D"/>
    <w:rsid w:val="1CA90EA4"/>
    <w:rsid w:val="1CEB698D"/>
    <w:rsid w:val="1D1A5759"/>
    <w:rsid w:val="1DD9663B"/>
    <w:rsid w:val="1DE10038"/>
    <w:rsid w:val="1E3C371C"/>
    <w:rsid w:val="1F3C5CA9"/>
    <w:rsid w:val="1FC0481E"/>
    <w:rsid w:val="1FE676D1"/>
    <w:rsid w:val="200D670A"/>
    <w:rsid w:val="2110329F"/>
    <w:rsid w:val="212B575E"/>
    <w:rsid w:val="22C73E32"/>
    <w:rsid w:val="23521577"/>
    <w:rsid w:val="23994CC2"/>
    <w:rsid w:val="23BF25B6"/>
    <w:rsid w:val="24616E7D"/>
    <w:rsid w:val="24A33206"/>
    <w:rsid w:val="24CC2ADC"/>
    <w:rsid w:val="24D073E4"/>
    <w:rsid w:val="2504136D"/>
    <w:rsid w:val="25731F74"/>
    <w:rsid w:val="257F27A2"/>
    <w:rsid w:val="285C58B2"/>
    <w:rsid w:val="286D2105"/>
    <w:rsid w:val="290E3450"/>
    <w:rsid w:val="296E45A2"/>
    <w:rsid w:val="2A1036D4"/>
    <w:rsid w:val="2A577D69"/>
    <w:rsid w:val="2AC96237"/>
    <w:rsid w:val="2C41613B"/>
    <w:rsid w:val="2C8E08C5"/>
    <w:rsid w:val="2CE859EC"/>
    <w:rsid w:val="2DFA5405"/>
    <w:rsid w:val="2EA555A0"/>
    <w:rsid w:val="2F346C7A"/>
    <w:rsid w:val="2F7174E8"/>
    <w:rsid w:val="2F754677"/>
    <w:rsid w:val="2F98727F"/>
    <w:rsid w:val="30534F57"/>
    <w:rsid w:val="307A3F4D"/>
    <w:rsid w:val="30C61B30"/>
    <w:rsid w:val="31116AA2"/>
    <w:rsid w:val="312612D2"/>
    <w:rsid w:val="313E1575"/>
    <w:rsid w:val="318C4BC4"/>
    <w:rsid w:val="31FF6C82"/>
    <w:rsid w:val="322F3459"/>
    <w:rsid w:val="33605869"/>
    <w:rsid w:val="3449783E"/>
    <w:rsid w:val="347D3DD3"/>
    <w:rsid w:val="34BF705E"/>
    <w:rsid w:val="351A0E01"/>
    <w:rsid w:val="3545577D"/>
    <w:rsid w:val="35791015"/>
    <w:rsid w:val="364E03AC"/>
    <w:rsid w:val="36B96CD0"/>
    <w:rsid w:val="36F975DB"/>
    <w:rsid w:val="3793276A"/>
    <w:rsid w:val="37935FEC"/>
    <w:rsid w:val="385A08FB"/>
    <w:rsid w:val="385E30CA"/>
    <w:rsid w:val="38731DFB"/>
    <w:rsid w:val="38883C1F"/>
    <w:rsid w:val="38D956B8"/>
    <w:rsid w:val="39536F7B"/>
    <w:rsid w:val="39B527DE"/>
    <w:rsid w:val="39EE55E9"/>
    <w:rsid w:val="39F61A07"/>
    <w:rsid w:val="3A235C5E"/>
    <w:rsid w:val="3AE94511"/>
    <w:rsid w:val="3B0F279A"/>
    <w:rsid w:val="3BBE69AD"/>
    <w:rsid w:val="3D52007C"/>
    <w:rsid w:val="3D8F1EBC"/>
    <w:rsid w:val="3DC75184"/>
    <w:rsid w:val="3DFA68EF"/>
    <w:rsid w:val="3EDE4AD4"/>
    <w:rsid w:val="3FD57736"/>
    <w:rsid w:val="40C25A06"/>
    <w:rsid w:val="41526B64"/>
    <w:rsid w:val="42497357"/>
    <w:rsid w:val="42CF2698"/>
    <w:rsid w:val="433B6BF8"/>
    <w:rsid w:val="43B52952"/>
    <w:rsid w:val="43BD12C3"/>
    <w:rsid w:val="440257B2"/>
    <w:rsid w:val="441023D1"/>
    <w:rsid w:val="442F5B0E"/>
    <w:rsid w:val="449C4CC6"/>
    <w:rsid w:val="4528516A"/>
    <w:rsid w:val="45BD4EC3"/>
    <w:rsid w:val="46805548"/>
    <w:rsid w:val="46E235A5"/>
    <w:rsid w:val="46F06F0C"/>
    <w:rsid w:val="473123EF"/>
    <w:rsid w:val="473D2ABC"/>
    <w:rsid w:val="476E4DA2"/>
    <w:rsid w:val="478A155F"/>
    <w:rsid w:val="47FD752A"/>
    <w:rsid w:val="48757C8A"/>
    <w:rsid w:val="48F6071D"/>
    <w:rsid w:val="496A6511"/>
    <w:rsid w:val="4A052B91"/>
    <w:rsid w:val="4A742241"/>
    <w:rsid w:val="4BAD5F98"/>
    <w:rsid w:val="4BF2289E"/>
    <w:rsid w:val="4C2E36C2"/>
    <w:rsid w:val="4D116795"/>
    <w:rsid w:val="4DB32B3F"/>
    <w:rsid w:val="4E792E4A"/>
    <w:rsid w:val="4EC14F0B"/>
    <w:rsid w:val="4F4A47F8"/>
    <w:rsid w:val="4F6571B6"/>
    <w:rsid w:val="4FFB2C03"/>
    <w:rsid w:val="50F21E6B"/>
    <w:rsid w:val="51BA49DE"/>
    <w:rsid w:val="526E5D8E"/>
    <w:rsid w:val="53034162"/>
    <w:rsid w:val="53A7660E"/>
    <w:rsid w:val="540E3036"/>
    <w:rsid w:val="558414B2"/>
    <w:rsid w:val="559D089E"/>
    <w:rsid w:val="55C25B19"/>
    <w:rsid w:val="56245862"/>
    <w:rsid w:val="572573D8"/>
    <w:rsid w:val="576F2003"/>
    <w:rsid w:val="57783A39"/>
    <w:rsid w:val="579B73CF"/>
    <w:rsid w:val="57DA7BE5"/>
    <w:rsid w:val="57F95B34"/>
    <w:rsid w:val="584B2834"/>
    <w:rsid w:val="585F4027"/>
    <w:rsid w:val="59B05D28"/>
    <w:rsid w:val="5A802CD0"/>
    <w:rsid w:val="5A9050E0"/>
    <w:rsid w:val="5AEE639C"/>
    <w:rsid w:val="5BB83ACE"/>
    <w:rsid w:val="5BD41CA6"/>
    <w:rsid w:val="5D151A2B"/>
    <w:rsid w:val="5D1813E3"/>
    <w:rsid w:val="5E543EED"/>
    <w:rsid w:val="5E9923AC"/>
    <w:rsid w:val="5E9C1A5E"/>
    <w:rsid w:val="5EE66E12"/>
    <w:rsid w:val="5F09381F"/>
    <w:rsid w:val="5F1267B2"/>
    <w:rsid w:val="5FF91718"/>
    <w:rsid w:val="601630E6"/>
    <w:rsid w:val="60AA3E56"/>
    <w:rsid w:val="61413402"/>
    <w:rsid w:val="618B37AF"/>
    <w:rsid w:val="61D671F5"/>
    <w:rsid w:val="61D727BB"/>
    <w:rsid w:val="620B3AA5"/>
    <w:rsid w:val="621A5025"/>
    <w:rsid w:val="63236CCF"/>
    <w:rsid w:val="63350368"/>
    <w:rsid w:val="634A45AF"/>
    <w:rsid w:val="64983CB4"/>
    <w:rsid w:val="657F58CB"/>
    <w:rsid w:val="65DF718C"/>
    <w:rsid w:val="6644076E"/>
    <w:rsid w:val="66760DFA"/>
    <w:rsid w:val="66D54765"/>
    <w:rsid w:val="6707201B"/>
    <w:rsid w:val="671426AB"/>
    <w:rsid w:val="671601DB"/>
    <w:rsid w:val="67472418"/>
    <w:rsid w:val="67B64D56"/>
    <w:rsid w:val="67D06156"/>
    <w:rsid w:val="68A5389A"/>
    <w:rsid w:val="68B0762E"/>
    <w:rsid w:val="694B4D01"/>
    <w:rsid w:val="6964061D"/>
    <w:rsid w:val="69C6665D"/>
    <w:rsid w:val="6A9904A9"/>
    <w:rsid w:val="6AA67945"/>
    <w:rsid w:val="6B4D1FC7"/>
    <w:rsid w:val="6BA301BE"/>
    <w:rsid w:val="6BA50981"/>
    <w:rsid w:val="6BD729AB"/>
    <w:rsid w:val="6E0B4FEC"/>
    <w:rsid w:val="6E66504F"/>
    <w:rsid w:val="6EAC5567"/>
    <w:rsid w:val="6EB84F83"/>
    <w:rsid w:val="6F072E12"/>
    <w:rsid w:val="6F6276F3"/>
    <w:rsid w:val="6FB24AEE"/>
    <w:rsid w:val="705B09E7"/>
    <w:rsid w:val="709F1517"/>
    <w:rsid w:val="70C51E95"/>
    <w:rsid w:val="70C95AA3"/>
    <w:rsid w:val="71076B22"/>
    <w:rsid w:val="713C6114"/>
    <w:rsid w:val="714D3752"/>
    <w:rsid w:val="71827CC3"/>
    <w:rsid w:val="724E4FA2"/>
    <w:rsid w:val="729E6E1D"/>
    <w:rsid w:val="739C7854"/>
    <w:rsid w:val="73FB6DBE"/>
    <w:rsid w:val="747A4533"/>
    <w:rsid w:val="74910593"/>
    <w:rsid w:val="74FE62F9"/>
    <w:rsid w:val="7530098F"/>
    <w:rsid w:val="75863C8E"/>
    <w:rsid w:val="75A03693"/>
    <w:rsid w:val="75F16037"/>
    <w:rsid w:val="763E4A7C"/>
    <w:rsid w:val="767637A1"/>
    <w:rsid w:val="772101DD"/>
    <w:rsid w:val="773C53B7"/>
    <w:rsid w:val="77BA6C36"/>
    <w:rsid w:val="780E53D6"/>
    <w:rsid w:val="789F2880"/>
    <w:rsid w:val="79985125"/>
    <w:rsid w:val="79FA156C"/>
    <w:rsid w:val="7AA10850"/>
    <w:rsid w:val="7AA25CF1"/>
    <w:rsid w:val="7B6F420F"/>
    <w:rsid w:val="7BFE993E"/>
    <w:rsid w:val="7D644F0F"/>
    <w:rsid w:val="7DA14128"/>
    <w:rsid w:val="7DED1B13"/>
    <w:rsid w:val="7EF23159"/>
    <w:rsid w:val="7F4F65F8"/>
    <w:rsid w:val="7F6719AC"/>
    <w:rsid w:val="7F7178B0"/>
    <w:rsid w:val="7FB62FD8"/>
    <w:rsid w:val="7FD9289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3">
    <w:name w:val="Normal Indent"/>
    <w:basedOn w:val="1"/>
    <w:next w:val="1"/>
    <w:qFormat/>
    <w:uiPriority w:val="0"/>
    <w:pPr>
      <w:ind w:firstLine="420" w:firstLineChars="200"/>
    </w:pPr>
    <w:rPr>
      <w:rFonts w:ascii="Calibri" w:hAnsi="Calibri" w:eastAsia="仿宋" w:cs="宋体"/>
      <w:sz w:val="32"/>
    </w:rPr>
  </w:style>
  <w:style w:type="paragraph" w:styleId="4">
    <w:name w:val="annotation text"/>
    <w:basedOn w:val="1"/>
    <w:qFormat/>
    <w:uiPriority w:val="0"/>
    <w:pPr>
      <w:jc w:val="left"/>
    </w:pPr>
  </w:style>
  <w:style w:type="paragraph" w:styleId="5">
    <w:name w:val="Body Text"/>
    <w:basedOn w:val="1"/>
    <w:qFormat/>
    <w:uiPriority w:val="0"/>
    <w:pPr>
      <w:spacing w:after="120" w:afterLines="0"/>
    </w:pPr>
  </w:style>
  <w:style w:type="paragraph" w:styleId="6">
    <w:name w:val="Body Text Indent"/>
    <w:basedOn w:val="1"/>
    <w:next w:val="3"/>
    <w:qFormat/>
    <w:uiPriority w:val="0"/>
    <w:pPr>
      <w:ind w:firstLine="645"/>
    </w:pPr>
    <w:rPr>
      <w:rFonts w:ascii="仿宋_GB2312" w:eastAsia="仿宋_GB2312"/>
      <w:sz w:val="32"/>
    </w:rPr>
  </w:style>
  <w:style w:type="paragraph" w:styleId="7">
    <w:name w:val="Plain Text"/>
    <w:basedOn w:val="1"/>
    <w:qFormat/>
    <w:uiPriority w:val="0"/>
    <w:rPr>
      <w:rFonts w:ascii="宋体" w:hAnsi="Courier New"/>
    </w:rPr>
  </w:style>
  <w:style w:type="paragraph" w:styleId="8">
    <w:name w:val="Date"/>
    <w:basedOn w:val="1"/>
    <w:next w:val="1"/>
    <w:qFormat/>
    <w:uiPriority w:val="0"/>
    <w:pPr>
      <w:ind w:left="100"/>
    </w:pPr>
    <w:rPr>
      <w:rFonts w:eastAsia="仿宋_GB2312"/>
      <w:sz w:val="32"/>
    </w:rPr>
  </w:style>
  <w:style w:type="paragraph" w:styleId="9">
    <w:name w:val="Body Text Indent 2"/>
    <w:basedOn w:val="1"/>
    <w:qFormat/>
    <w:uiPriority w:val="0"/>
    <w:pPr>
      <w:spacing w:after="120" w:afterLines="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styleId="14">
    <w:name w:val="Body Text First Indent 2"/>
    <w:basedOn w:val="6"/>
    <w:qFormat/>
    <w:uiPriority w:val="0"/>
    <w:pPr>
      <w:ind w:firstLine="420" w:firstLineChars="200"/>
      <w:jc w:val="left"/>
    </w:pPr>
    <w:rPr>
      <w:color w:val="000000"/>
      <w:kern w:val="0"/>
      <w:sz w:val="24"/>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bCs/>
    </w:rPr>
  </w:style>
  <w:style w:type="character" w:styleId="19">
    <w:name w:val="page number"/>
    <w:basedOn w:val="17"/>
    <w:qFormat/>
    <w:uiPriority w:val="0"/>
  </w:style>
  <w:style w:type="character" w:styleId="20">
    <w:name w:val="Hyperlink"/>
    <w:basedOn w:val="17"/>
    <w:qFormat/>
    <w:uiPriority w:val="0"/>
    <w:rPr>
      <w:color w:val="0000FF"/>
      <w:u w:val="single"/>
    </w:rPr>
  </w:style>
  <w:style w:type="paragraph" w:customStyle="1" w:styleId="21">
    <w:name w:val="p0"/>
    <w:basedOn w:val="1"/>
    <w:qFormat/>
    <w:uiPriority w:val="0"/>
    <w:pPr>
      <w:widowControl/>
    </w:pPr>
    <w:rPr>
      <w:kern w:val="0"/>
      <w:szCs w:val="21"/>
    </w:rPr>
  </w:style>
  <w:style w:type="character" w:customStyle="1" w:styleId="22">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6</Pages>
  <Words>2233</Words>
  <Characters>2279</Characters>
  <Lines>22</Lines>
  <Paragraphs>6</Paragraphs>
  <TotalTime>13</TotalTime>
  <ScaleCrop>false</ScaleCrop>
  <LinksUpToDate>false</LinksUpToDate>
  <CharactersWithSpaces>2342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2020-03-25T14:09:00Z</dcterms:created>
  <dc:creator>微软用户</dc:creator>
  <cp:lastModifiedBy>user</cp:lastModifiedBy>
  <cp:lastPrinted>2023-10-27T13:53:00Z</cp:lastPrinted>
  <dcterms:modified xsi:type="dcterms:W3CDTF">2024-07-09T09:12:34Z</dcterms:modified>
  <dc:title>调政发〔2008〕7号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F12573060D7A40078A60861A41E44B75</vt:lpwstr>
  </property>
</Properties>
</file>