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　</w:t>
      </w:r>
    </w:p>
    <w:p>
      <w:pPr>
        <w:spacing w:after="0" w:line="600" w:lineRule="exact"/>
        <w:jc w:val="center"/>
        <w:rPr>
          <w:rFonts w:hint="eastAsia" w:asciiTheme="minorEastAsia" w:hAnsiTheme="minorEastAsia" w:eastAsiaTheme="minorEastAsia"/>
          <w:sz w:val="44"/>
          <w:szCs w:val="44"/>
        </w:rPr>
      </w:pPr>
      <w:r>
        <w:rPr>
          <w:rFonts w:hint="eastAsia" w:asciiTheme="minorEastAsia" w:hAnsiTheme="minorEastAsia" w:eastAsiaTheme="minorEastAsia"/>
          <w:sz w:val="44"/>
          <w:szCs w:val="44"/>
          <w:lang w:eastAsia="zh-CN"/>
        </w:rPr>
        <w:t>铁岭市</w:t>
      </w:r>
      <w:r>
        <w:rPr>
          <w:rFonts w:hint="eastAsia" w:asciiTheme="minorEastAsia" w:hAnsiTheme="minorEastAsia" w:eastAsiaTheme="minorEastAsia"/>
          <w:sz w:val="44"/>
          <w:szCs w:val="44"/>
        </w:rPr>
        <w:t>重要电力用户</w:t>
      </w:r>
      <w:r>
        <w:rPr>
          <w:rFonts w:hint="eastAsia" w:asciiTheme="minorEastAsia" w:hAnsiTheme="minorEastAsia" w:eastAsiaTheme="minorEastAsia"/>
          <w:sz w:val="44"/>
          <w:szCs w:val="44"/>
          <w:lang w:eastAsia="zh-CN"/>
        </w:rPr>
        <w:t>用电安全</w:t>
      </w:r>
      <w:r>
        <w:rPr>
          <w:rFonts w:hint="eastAsia" w:asciiTheme="minorEastAsia" w:hAnsiTheme="minorEastAsia" w:eastAsiaTheme="minorEastAsia"/>
          <w:sz w:val="44"/>
          <w:szCs w:val="44"/>
        </w:rPr>
        <w:t>管理办法</w:t>
      </w:r>
    </w:p>
    <w:p>
      <w:pPr>
        <w:spacing w:after="0" w:line="600" w:lineRule="exact"/>
        <w:jc w:val="center"/>
        <w:rPr>
          <w:rFonts w:ascii="楷体" w:hAnsi="楷体" w:eastAsia="楷体"/>
          <w:sz w:val="32"/>
          <w:szCs w:val="32"/>
        </w:rPr>
      </w:pPr>
      <w:r>
        <w:rPr>
          <w:rFonts w:hint="eastAsia" w:ascii="楷体" w:hAnsi="楷体" w:eastAsia="楷体"/>
          <w:sz w:val="32"/>
          <w:szCs w:val="32"/>
        </w:rPr>
        <w:t>(20</w:t>
      </w:r>
      <w:r>
        <w:rPr>
          <w:rFonts w:hint="eastAsia" w:ascii="楷体" w:hAnsi="楷体" w:eastAsia="楷体"/>
          <w:sz w:val="32"/>
          <w:szCs w:val="32"/>
          <w:lang w:val="en-US" w:eastAsia="zh-CN"/>
        </w:rPr>
        <w:t>23</w:t>
      </w:r>
      <w:r>
        <w:rPr>
          <w:rFonts w:hint="eastAsia" w:ascii="楷体" w:hAnsi="楷体" w:eastAsia="楷体"/>
          <w:sz w:val="32"/>
          <w:szCs w:val="32"/>
        </w:rPr>
        <w:t>年10月2</w:t>
      </w:r>
      <w:r>
        <w:rPr>
          <w:rFonts w:hint="eastAsia" w:ascii="楷体" w:hAnsi="楷体" w:eastAsia="楷体"/>
          <w:sz w:val="32"/>
          <w:szCs w:val="32"/>
          <w:lang w:val="en-US" w:eastAsia="zh-CN"/>
        </w:rPr>
        <w:t>5</w:t>
      </w:r>
      <w:r>
        <w:rPr>
          <w:rFonts w:hint="eastAsia" w:ascii="楷体" w:hAnsi="楷体" w:eastAsia="楷体"/>
          <w:sz w:val="32"/>
          <w:szCs w:val="32"/>
        </w:rPr>
        <w:t>日铁政办发〔2023〕</w:t>
      </w:r>
      <w:r>
        <w:rPr>
          <w:rFonts w:hint="eastAsia" w:ascii="楷体" w:hAnsi="楷体" w:eastAsia="楷体"/>
          <w:sz w:val="32"/>
          <w:szCs w:val="32"/>
          <w:lang w:val="en-US" w:eastAsia="zh-CN"/>
        </w:rPr>
        <w:t>22</w:t>
      </w:r>
      <w:bookmarkStart w:id="3" w:name="_GoBack"/>
      <w:bookmarkEnd w:id="3"/>
      <w:r>
        <w:rPr>
          <w:rFonts w:hint="eastAsia" w:ascii="楷体" w:hAnsi="楷体" w:eastAsia="楷体"/>
          <w:sz w:val="32"/>
          <w:szCs w:val="32"/>
        </w:rPr>
        <w:t>号公布</w:t>
      </w:r>
      <w:r>
        <w:rPr>
          <w:rFonts w:hint="eastAsia" w:ascii="楷体" w:hAnsi="楷体" w:eastAsia="楷体"/>
          <w:sz w:val="32"/>
          <w:szCs w:val="32"/>
          <w:lang w:val="en-US" w:eastAsia="zh-CN"/>
        </w:rPr>
        <w:t xml:space="preserve"> </w:t>
      </w:r>
      <w:r>
        <w:rPr>
          <w:rFonts w:hint="eastAsia" w:ascii="楷体" w:hAnsi="楷体" w:eastAsia="楷体"/>
          <w:sz w:val="32"/>
          <w:szCs w:val="32"/>
        </w:rPr>
        <w:t>自20</w:t>
      </w:r>
      <w:r>
        <w:rPr>
          <w:rFonts w:hint="eastAsia" w:ascii="楷体" w:hAnsi="楷体" w:eastAsia="楷体"/>
          <w:sz w:val="32"/>
          <w:szCs w:val="32"/>
          <w:lang w:val="en-US" w:eastAsia="zh-CN"/>
        </w:rPr>
        <w:t>23</w:t>
      </w:r>
      <w:r>
        <w:rPr>
          <w:rFonts w:hint="eastAsia" w:ascii="楷体" w:hAnsi="楷体" w:eastAsia="楷体"/>
          <w:sz w:val="32"/>
          <w:szCs w:val="32"/>
        </w:rPr>
        <w:t>年1</w:t>
      </w:r>
      <w:r>
        <w:rPr>
          <w:rFonts w:hint="eastAsia" w:ascii="楷体" w:hAnsi="楷体" w:eastAsia="楷体"/>
          <w:sz w:val="32"/>
          <w:szCs w:val="32"/>
          <w:lang w:val="en-US" w:eastAsia="zh-CN"/>
        </w:rPr>
        <w:t>0</w:t>
      </w:r>
      <w:r>
        <w:rPr>
          <w:rFonts w:hint="eastAsia" w:ascii="楷体" w:hAnsi="楷体" w:eastAsia="楷体"/>
          <w:sz w:val="32"/>
          <w:szCs w:val="32"/>
        </w:rPr>
        <w:t>月</w:t>
      </w:r>
      <w:r>
        <w:rPr>
          <w:rFonts w:hint="eastAsia" w:ascii="楷体" w:hAnsi="楷体" w:eastAsia="楷体"/>
          <w:sz w:val="32"/>
          <w:szCs w:val="32"/>
          <w:lang w:val="en-US" w:eastAsia="zh-CN"/>
        </w:rPr>
        <w:t>25</w:t>
      </w:r>
      <w:r>
        <w:rPr>
          <w:rFonts w:hint="eastAsia" w:ascii="楷体" w:hAnsi="楷体" w:eastAsia="楷体"/>
          <w:sz w:val="32"/>
          <w:szCs w:val="32"/>
        </w:rPr>
        <w:t>日起施行)</w:t>
      </w:r>
    </w:p>
    <w:p/>
    <w:p>
      <w:pPr>
        <w:keepNext w:val="0"/>
        <w:keepLines w:val="0"/>
        <w:pageBreakBefore w:val="0"/>
        <w:kinsoku w:val="0"/>
        <w:wordWrap/>
        <w:overflowPunct w:val="0"/>
        <w:topLinePunct w:val="0"/>
        <w:autoSpaceDE/>
        <w:autoSpaceDN/>
        <w:bidi w:val="0"/>
        <w:adjustRightInd/>
        <w:snapToGrid w:val="0"/>
        <w:spacing w:line="600" w:lineRule="exact"/>
        <w:ind w:firstLine="622" w:firstLineChars="200"/>
        <w:jc w:val="left"/>
        <w:rPr>
          <w:rFonts w:hint="eastAsia" w:ascii="仿宋_GB2312" w:hAnsi="仿宋_GB2312" w:eastAsia="仿宋_GB2312" w:cs="仿宋_GB2312"/>
          <w:b w:val="0"/>
          <w:bCs w:val="0"/>
          <w:snapToGrid w:val="0"/>
          <w:color w:val="auto"/>
          <w:kern w:val="0"/>
          <w:sz w:val="32"/>
          <w:szCs w:val="32"/>
          <w:lang w:eastAsia="zh-CN"/>
        </w:rPr>
      </w:pPr>
      <w:r>
        <w:rPr>
          <w:rFonts w:hint="eastAsia" w:ascii="黑体" w:hAnsi="黑体" w:eastAsia="黑体" w:cs="黑体"/>
          <w:b w:val="0"/>
          <w:bCs w:val="0"/>
          <w:snapToGrid w:val="0"/>
          <w:kern w:val="0"/>
          <w:sz w:val="32"/>
          <w:szCs w:val="32"/>
        </w:rPr>
        <w:t>第一条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color w:val="auto"/>
          <w:kern w:val="0"/>
          <w:sz w:val="32"/>
          <w:szCs w:val="32"/>
        </w:rPr>
        <w:t>为</w:t>
      </w:r>
      <w:r>
        <w:rPr>
          <w:rFonts w:hint="eastAsia" w:ascii="仿宋_GB2312" w:hAnsi="仿宋_GB2312" w:eastAsia="仿宋_GB2312" w:cs="仿宋_GB2312"/>
          <w:b w:val="0"/>
          <w:bCs w:val="0"/>
          <w:snapToGrid w:val="0"/>
          <w:color w:val="auto"/>
          <w:kern w:val="0"/>
          <w:sz w:val="32"/>
          <w:szCs w:val="32"/>
          <w:lang w:eastAsia="zh-CN"/>
        </w:rPr>
        <w:t>规范和加强全市</w:t>
      </w:r>
      <w:r>
        <w:rPr>
          <w:rFonts w:hint="eastAsia" w:ascii="仿宋_GB2312" w:hAnsi="仿宋_GB2312" w:eastAsia="仿宋_GB2312" w:cs="仿宋_GB2312"/>
          <w:b w:val="0"/>
          <w:bCs w:val="0"/>
          <w:snapToGrid w:val="0"/>
          <w:color w:val="auto"/>
          <w:kern w:val="0"/>
          <w:sz w:val="32"/>
          <w:szCs w:val="32"/>
        </w:rPr>
        <w:t>重要电力用户</w:t>
      </w:r>
      <w:r>
        <w:rPr>
          <w:rFonts w:hint="eastAsia" w:ascii="仿宋_GB2312" w:hAnsi="仿宋_GB2312" w:eastAsia="仿宋_GB2312" w:cs="仿宋_GB2312"/>
          <w:b w:val="0"/>
          <w:bCs w:val="0"/>
          <w:snapToGrid w:val="0"/>
          <w:color w:val="auto"/>
          <w:kern w:val="0"/>
          <w:sz w:val="32"/>
          <w:szCs w:val="32"/>
          <w:lang w:eastAsia="zh-CN"/>
        </w:rPr>
        <w:t>供用电安全管理工作，保障正常供用电秩序和公共安全，提高应对电力突发事件应急处置能力</w:t>
      </w:r>
      <w:r>
        <w:rPr>
          <w:rFonts w:hint="eastAsia" w:ascii="仿宋_GB2312" w:hAnsi="仿宋_GB2312" w:eastAsia="仿宋_GB2312" w:cs="仿宋_GB2312"/>
          <w:b w:val="0"/>
          <w:bCs w:val="0"/>
          <w:snapToGrid w:val="0"/>
          <w:color w:val="auto"/>
          <w:kern w:val="0"/>
          <w:sz w:val="32"/>
          <w:szCs w:val="32"/>
        </w:rPr>
        <w:t>，</w:t>
      </w:r>
      <w:r>
        <w:rPr>
          <w:rFonts w:hint="eastAsia" w:ascii="仿宋_GB2312" w:hAnsi="仿宋_GB2312" w:eastAsia="仿宋_GB2312" w:cs="仿宋_GB2312"/>
          <w:b w:val="0"/>
          <w:bCs w:val="0"/>
          <w:snapToGrid w:val="0"/>
          <w:color w:val="auto"/>
          <w:kern w:val="0"/>
          <w:sz w:val="32"/>
          <w:szCs w:val="32"/>
          <w:lang w:eastAsia="zh-CN"/>
        </w:rPr>
        <w:t>根据《中华人民共和国安全生产法》</w:t>
      </w:r>
      <w:r>
        <w:rPr>
          <w:rFonts w:hint="eastAsia" w:ascii="仿宋_GB2312" w:hAnsi="仿宋_GB2312" w:eastAsia="仿宋_GB2312" w:cs="仿宋_GB2312"/>
          <w:b w:val="0"/>
          <w:bCs w:val="0"/>
          <w:snapToGrid w:val="0"/>
          <w:color w:val="auto"/>
          <w:kern w:val="0"/>
          <w:sz w:val="32"/>
          <w:szCs w:val="32"/>
        </w:rPr>
        <w:t>《中华人民共和国电力法》</w:t>
      </w:r>
      <w:r>
        <w:rPr>
          <w:rFonts w:hint="eastAsia" w:ascii="仿宋_GB2312" w:hAnsi="仿宋_GB2312" w:eastAsia="仿宋_GB2312" w:cs="仿宋_GB2312"/>
          <w:b w:val="0"/>
          <w:bCs w:val="0"/>
          <w:snapToGrid w:val="0"/>
          <w:color w:val="auto"/>
          <w:kern w:val="0"/>
          <w:sz w:val="32"/>
          <w:szCs w:val="32"/>
          <w:lang w:eastAsia="zh-CN"/>
        </w:rPr>
        <w:t>《电力供应与使用条例》《电力安全生产监督管理办法》《防止电力生产事故的二十五项重点要求》等相关法律法规及规章，参照</w:t>
      </w:r>
      <w:r>
        <w:rPr>
          <w:rFonts w:hint="eastAsia" w:ascii="仿宋_GB2312" w:hAnsi="仿宋_GB2312" w:eastAsia="仿宋_GB2312" w:cs="仿宋_GB2312"/>
          <w:b w:val="0"/>
          <w:bCs w:val="0"/>
          <w:snapToGrid w:val="0"/>
          <w:kern w:val="0"/>
          <w:sz w:val="32"/>
          <w:szCs w:val="32"/>
        </w:rPr>
        <w:t>《重要电力用户供电电源及自备应急电源配置技术规范》</w:t>
      </w:r>
      <w:r>
        <w:rPr>
          <w:rFonts w:hint="eastAsia" w:ascii="仿宋_GB2312" w:hAnsi="仿宋_GB2312" w:eastAsia="仿宋_GB2312" w:cs="仿宋_GB2312"/>
          <w:b w:val="0"/>
          <w:bCs w:val="0"/>
          <w:snapToGrid w:val="0"/>
          <w:kern w:val="0"/>
          <w:sz w:val="32"/>
          <w:szCs w:val="32"/>
          <w:lang w:eastAsia="zh-CN"/>
        </w:rPr>
        <w:t>（</w:t>
      </w:r>
      <w:r>
        <w:rPr>
          <w:rFonts w:hint="eastAsia" w:ascii="仿宋_GB2312" w:hAnsi="仿宋_GB2312" w:eastAsia="仿宋_GB2312" w:cs="仿宋_GB2312"/>
          <w:b w:val="0"/>
          <w:bCs w:val="0"/>
          <w:snapToGrid w:val="0"/>
          <w:kern w:val="0"/>
          <w:sz w:val="32"/>
          <w:szCs w:val="32"/>
          <w:lang w:val="en-US" w:eastAsia="zh-CN"/>
        </w:rPr>
        <w:t>GB/T29328-2018</w:t>
      </w:r>
      <w:r>
        <w:rPr>
          <w:rFonts w:hint="eastAsia" w:ascii="仿宋_GB2312" w:hAnsi="仿宋_GB2312" w:eastAsia="仿宋_GB2312" w:cs="仿宋_GB2312"/>
          <w:b w:val="0"/>
          <w:bCs w:val="0"/>
          <w:snapToGrid w:val="0"/>
          <w:kern w:val="0"/>
          <w:sz w:val="32"/>
          <w:szCs w:val="32"/>
          <w:lang w:eastAsia="zh-CN"/>
        </w:rPr>
        <w:t>）</w:t>
      </w:r>
      <w:r>
        <w:rPr>
          <w:rFonts w:hint="eastAsia" w:ascii="仿宋_GB2312" w:hAnsi="仿宋_GB2312" w:eastAsia="仿宋_GB2312" w:cs="仿宋_GB2312"/>
          <w:b w:val="0"/>
          <w:bCs w:val="0"/>
          <w:snapToGrid w:val="0"/>
          <w:kern w:val="0"/>
          <w:sz w:val="32"/>
          <w:szCs w:val="32"/>
          <w:lang w:val="en-US" w:eastAsia="zh-CN"/>
        </w:rPr>
        <w:t>,</w:t>
      </w:r>
      <w:r>
        <w:rPr>
          <w:rFonts w:hint="eastAsia" w:ascii="仿宋_GB2312" w:hAnsi="仿宋_GB2312" w:eastAsia="仿宋_GB2312" w:cs="仿宋_GB2312"/>
          <w:b w:val="0"/>
          <w:bCs w:val="0"/>
          <w:snapToGrid w:val="0"/>
          <w:color w:val="auto"/>
          <w:kern w:val="0"/>
          <w:sz w:val="32"/>
          <w:szCs w:val="32"/>
          <w:lang w:eastAsia="zh-CN"/>
        </w:rPr>
        <w:t>结合我市实际，制定本办法。</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lang w:eastAsia="zh-CN"/>
        </w:rPr>
      </w:pPr>
      <w:r>
        <w:rPr>
          <w:rFonts w:hint="eastAsia" w:ascii="黑体" w:hAnsi="黑体" w:eastAsia="黑体" w:cs="黑体"/>
          <w:b w:val="0"/>
          <w:bCs w:val="0"/>
          <w:snapToGrid w:val="0"/>
          <w:kern w:val="0"/>
          <w:sz w:val="32"/>
          <w:szCs w:val="32"/>
        </w:rPr>
        <w:t>第</w:t>
      </w:r>
      <w:r>
        <w:rPr>
          <w:rFonts w:hint="eastAsia" w:ascii="黑体" w:hAnsi="黑体" w:eastAsia="黑体" w:cs="黑体"/>
          <w:b w:val="0"/>
          <w:bCs w:val="0"/>
          <w:snapToGrid w:val="0"/>
          <w:kern w:val="0"/>
          <w:sz w:val="32"/>
          <w:szCs w:val="32"/>
          <w:lang w:eastAsia="zh-CN"/>
        </w:rPr>
        <w:t>二</w:t>
      </w:r>
      <w:r>
        <w:rPr>
          <w:rFonts w:hint="eastAsia" w:ascii="黑体" w:hAnsi="黑体" w:eastAsia="黑体" w:cs="黑体"/>
          <w:b w:val="0"/>
          <w:bCs w:val="0"/>
          <w:snapToGrid w:val="0"/>
          <w:kern w:val="0"/>
          <w:sz w:val="32"/>
          <w:szCs w:val="32"/>
        </w:rPr>
        <w:t>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kern w:val="0"/>
          <w:sz w:val="32"/>
          <w:szCs w:val="32"/>
        </w:rPr>
        <w:t>本办法所称的重要电力用户是指在国家</w:t>
      </w:r>
      <w:r>
        <w:rPr>
          <w:rFonts w:hint="eastAsia" w:ascii="仿宋_GB2312" w:hAnsi="仿宋_GB2312" w:eastAsia="仿宋_GB2312" w:cs="仿宋_GB2312"/>
          <w:b w:val="0"/>
          <w:bCs w:val="0"/>
          <w:snapToGrid w:val="0"/>
          <w:kern w:val="0"/>
          <w:sz w:val="32"/>
          <w:szCs w:val="32"/>
          <w:lang w:eastAsia="zh-CN"/>
        </w:rPr>
        <w:t>、省</w:t>
      </w:r>
      <w:r>
        <w:rPr>
          <w:rFonts w:hint="eastAsia" w:ascii="仿宋_GB2312" w:hAnsi="仿宋_GB2312" w:eastAsia="仿宋_GB2312" w:cs="仿宋_GB2312"/>
          <w:b w:val="0"/>
          <w:bCs w:val="0"/>
          <w:snapToGrid w:val="0"/>
          <w:kern w:val="0"/>
          <w:sz w:val="32"/>
          <w:szCs w:val="32"/>
        </w:rPr>
        <w:t>或者本市的社会、政治、经济生活中占有重要地位，</w:t>
      </w:r>
      <w:r>
        <w:rPr>
          <w:rFonts w:hint="eastAsia" w:ascii="仿宋_GB2312" w:hAnsi="仿宋_GB2312" w:eastAsia="仿宋_GB2312" w:cs="仿宋_GB2312"/>
          <w:b w:val="0"/>
          <w:bCs w:val="0"/>
          <w:snapToGrid w:val="0"/>
          <w:kern w:val="0"/>
          <w:sz w:val="32"/>
          <w:szCs w:val="32"/>
          <w:lang w:eastAsia="zh-CN"/>
        </w:rPr>
        <w:t>对其</w:t>
      </w:r>
      <w:r>
        <w:rPr>
          <w:rFonts w:hint="eastAsia" w:ascii="仿宋_GB2312" w:hAnsi="仿宋_GB2312" w:eastAsia="仿宋_GB2312" w:cs="仿宋_GB2312"/>
          <w:b w:val="0"/>
          <w:bCs w:val="0"/>
          <w:snapToGrid w:val="0"/>
          <w:kern w:val="0"/>
          <w:sz w:val="32"/>
          <w:szCs w:val="32"/>
        </w:rPr>
        <w:t>中断供电将可能造成人身伤亡、较大环境污染、较大政治影响、较大经济损失、社会公共秩序严重混乱</w:t>
      </w:r>
      <w:r>
        <w:rPr>
          <w:rFonts w:hint="eastAsia" w:ascii="仿宋_GB2312" w:hAnsi="仿宋_GB2312" w:eastAsia="仿宋_GB2312" w:cs="仿宋_GB2312"/>
          <w:b w:val="0"/>
          <w:bCs w:val="0"/>
          <w:snapToGrid w:val="0"/>
          <w:color w:val="auto"/>
          <w:kern w:val="0"/>
          <w:sz w:val="32"/>
          <w:szCs w:val="32"/>
          <w:highlight w:val="none"/>
        </w:rPr>
        <w:t>的本</w:t>
      </w:r>
      <w:r>
        <w:rPr>
          <w:rFonts w:hint="eastAsia" w:ascii="仿宋_GB2312" w:hAnsi="仿宋_GB2312" w:eastAsia="仿宋_GB2312" w:cs="仿宋_GB2312"/>
          <w:b w:val="0"/>
          <w:bCs w:val="0"/>
          <w:snapToGrid w:val="0"/>
          <w:color w:val="auto"/>
          <w:kern w:val="0"/>
          <w:sz w:val="32"/>
          <w:szCs w:val="32"/>
          <w:highlight w:val="none"/>
          <w:lang w:eastAsia="zh-CN"/>
        </w:rPr>
        <w:t>市</w:t>
      </w:r>
      <w:r>
        <w:rPr>
          <w:rFonts w:hint="eastAsia" w:ascii="仿宋_GB2312" w:hAnsi="仿宋_GB2312" w:eastAsia="仿宋_GB2312" w:cs="仿宋_GB2312"/>
          <w:b w:val="0"/>
          <w:bCs w:val="0"/>
          <w:snapToGrid w:val="0"/>
          <w:color w:val="auto"/>
          <w:kern w:val="0"/>
          <w:sz w:val="32"/>
          <w:szCs w:val="32"/>
          <w:highlight w:val="none"/>
        </w:rPr>
        <w:t>电网</w:t>
      </w:r>
      <w:r>
        <w:rPr>
          <w:rFonts w:hint="eastAsia" w:ascii="仿宋_GB2312" w:hAnsi="仿宋_GB2312" w:eastAsia="仿宋_GB2312" w:cs="仿宋_GB2312"/>
          <w:b w:val="0"/>
          <w:bCs w:val="0"/>
          <w:snapToGrid w:val="0"/>
          <w:color w:val="auto"/>
          <w:kern w:val="0"/>
          <w:sz w:val="32"/>
          <w:szCs w:val="32"/>
          <w:highlight w:val="none"/>
          <w:lang w:eastAsia="zh-CN"/>
        </w:rPr>
        <w:t>企业</w:t>
      </w:r>
      <w:r>
        <w:rPr>
          <w:rFonts w:hint="eastAsia" w:ascii="仿宋_GB2312" w:hAnsi="仿宋_GB2312" w:eastAsia="仿宋_GB2312" w:cs="仿宋_GB2312"/>
          <w:b w:val="0"/>
          <w:bCs w:val="0"/>
          <w:snapToGrid w:val="0"/>
          <w:color w:val="auto"/>
          <w:kern w:val="0"/>
          <w:sz w:val="32"/>
          <w:szCs w:val="32"/>
          <w:highlight w:val="none"/>
        </w:rPr>
        <w:t>供电范围内的</w:t>
      </w:r>
      <w:r>
        <w:rPr>
          <w:rFonts w:hint="eastAsia" w:ascii="仿宋_GB2312" w:hAnsi="仿宋_GB2312" w:eastAsia="仿宋_GB2312" w:cs="仿宋_GB2312"/>
          <w:b w:val="0"/>
          <w:bCs w:val="0"/>
          <w:snapToGrid w:val="0"/>
          <w:color w:val="auto"/>
          <w:kern w:val="0"/>
          <w:sz w:val="32"/>
          <w:szCs w:val="32"/>
          <w:highlight w:val="none"/>
          <w:lang w:eastAsia="zh-CN"/>
        </w:rPr>
        <w:t>用电单位或者</w:t>
      </w:r>
      <w:r>
        <w:rPr>
          <w:rFonts w:hint="eastAsia" w:ascii="仿宋_GB2312" w:hAnsi="仿宋_GB2312" w:eastAsia="仿宋_GB2312" w:cs="仿宋_GB2312"/>
          <w:b w:val="0"/>
          <w:bCs w:val="0"/>
          <w:snapToGrid w:val="0"/>
          <w:color w:val="auto"/>
          <w:kern w:val="0"/>
          <w:sz w:val="32"/>
          <w:szCs w:val="32"/>
          <w:highlight w:val="none"/>
        </w:rPr>
        <w:t>对供电可靠性有特殊要求的用电场所。</w:t>
      </w:r>
      <w:r>
        <w:rPr>
          <w:rFonts w:hint="eastAsia" w:ascii="仿宋_GB2312" w:hAnsi="仿宋_GB2312" w:eastAsia="仿宋_GB2312" w:cs="仿宋_GB2312"/>
          <w:b w:val="0"/>
          <w:bCs w:val="0"/>
          <w:snapToGrid w:val="0"/>
          <w:color w:val="auto"/>
          <w:kern w:val="0"/>
          <w:sz w:val="32"/>
          <w:szCs w:val="32"/>
          <w:highlight w:val="none"/>
          <w:lang w:eastAsia="zh-CN"/>
        </w:rPr>
        <w:t>重要电力用户一般为专变供电的电力用户。</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黑体" w:hAnsi="黑体" w:eastAsia="黑体" w:cs="黑体"/>
          <w:b w:val="0"/>
          <w:bCs w:val="0"/>
          <w:snapToGrid w:val="0"/>
          <w:kern w:val="0"/>
          <w:sz w:val="32"/>
          <w:szCs w:val="32"/>
        </w:rPr>
        <w:t>第</w:t>
      </w:r>
      <w:r>
        <w:rPr>
          <w:rFonts w:hint="eastAsia" w:ascii="黑体" w:hAnsi="黑体" w:eastAsia="黑体" w:cs="黑体"/>
          <w:b w:val="0"/>
          <w:bCs w:val="0"/>
          <w:snapToGrid w:val="0"/>
          <w:kern w:val="0"/>
          <w:sz w:val="32"/>
          <w:szCs w:val="32"/>
          <w:lang w:eastAsia="zh-CN"/>
        </w:rPr>
        <w:t>三</w:t>
      </w:r>
      <w:r>
        <w:rPr>
          <w:rFonts w:hint="eastAsia" w:ascii="黑体" w:hAnsi="黑体" w:eastAsia="黑体" w:cs="黑体"/>
          <w:b w:val="0"/>
          <w:bCs w:val="0"/>
          <w:snapToGrid w:val="0"/>
          <w:kern w:val="0"/>
          <w:sz w:val="32"/>
          <w:szCs w:val="32"/>
        </w:rPr>
        <w:t>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kern w:val="0"/>
          <w:sz w:val="32"/>
          <w:szCs w:val="32"/>
        </w:rPr>
        <w:t>本市行政区域范围内重要电力用户</w:t>
      </w:r>
      <w:r>
        <w:rPr>
          <w:rFonts w:hint="eastAsia" w:ascii="仿宋_GB2312" w:hAnsi="仿宋_GB2312" w:eastAsia="仿宋_GB2312" w:cs="仿宋_GB2312"/>
          <w:b w:val="0"/>
          <w:bCs w:val="0"/>
          <w:snapToGrid w:val="0"/>
          <w:kern w:val="0"/>
          <w:sz w:val="32"/>
          <w:szCs w:val="32"/>
          <w:lang w:eastAsia="zh-CN"/>
        </w:rPr>
        <w:t>安全</w:t>
      </w:r>
      <w:r>
        <w:rPr>
          <w:rFonts w:hint="eastAsia" w:ascii="仿宋_GB2312" w:hAnsi="仿宋_GB2312" w:eastAsia="仿宋_GB2312" w:cs="仿宋_GB2312"/>
          <w:b w:val="0"/>
          <w:bCs w:val="0"/>
          <w:snapToGrid w:val="0"/>
          <w:kern w:val="0"/>
          <w:sz w:val="32"/>
          <w:szCs w:val="32"/>
        </w:rPr>
        <w:t>管理活动</w:t>
      </w:r>
      <w:r>
        <w:rPr>
          <w:rFonts w:hint="eastAsia" w:ascii="仿宋_GB2312" w:hAnsi="仿宋_GB2312" w:eastAsia="仿宋_GB2312" w:cs="仿宋_GB2312"/>
          <w:b w:val="0"/>
          <w:bCs w:val="0"/>
          <w:snapToGrid w:val="0"/>
          <w:kern w:val="0"/>
          <w:sz w:val="32"/>
          <w:szCs w:val="32"/>
          <w:lang w:eastAsia="zh-CN"/>
        </w:rPr>
        <w:t>，均</w:t>
      </w:r>
      <w:r>
        <w:rPr>
          <w:rFonts w:hint="eastAsia" w:ascii="仿宋_GB2312" w:hAnsi="仿宋_GB2312" w:eastAsia="仿宋_GB2312" w:cs="仿宋_GB2312"/>
          <w:b w:val="0"/>
          <w:bCs w:val="0"/>
          <w:snapToGrid w:val="0"/>
          <w:kern w:val="0"/>
          <w:sz w:val="32"/>
          <w:szCs w:val="32"/>
        </w:rPr>
        <w:t>适用本办法。</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lang w:eastAsia="zh-CN"/>
        </w:rPr>
      </w:pPr>
      <w:r>
        <w:rPr>
          <w:rFonts w:hint="eastAsia" w:ascii="黑体" w:hAnsi="黑体" w:eastAsia="黑体" w:cs="黑体"/>
          <w:b w:val="0"/>
          <w:bCs w:val="0"/>
          <w:snapToGrid w:val="0"/>
          <w:kern w:val="0"/>
          <w:sz w:val="32"/>
          <w:szCs w:val="32"/>
        </w:rPr>
        <w:t>第</w:t>
      </w:r>
      <w:r>
        <w:rPr>
          <w:rFonts w:hint="eastAsia" w:ascii="黑体" w:hAnsi="黑体" w:eastAsia="黑体" w:cs="黑体"/>
          <w:b w:val="0"/>
          <w:bCs w:val="0"/>
          <w:snapToGrid w:val="0"/>
          <w:kern w:val="0"/>
          <w:sz w:val="32"/>
          <w:szCs w:val="32"/>
          <w:lang w:eastAsia="zh-CN"/>
        </w:rPr>
        <w:t>四</w:t>
      </w:r>
      <w:r>
        <w:rPr>
          <w:rFonts w:hint="eastAsia" w:ascii="黑体" w:hAnsi="黑体" w:eastAsia="黑体" w:cs="黑体"/>
          <w:b w:val="0"/>
          <w:bCs w:val="0"/>
          <w:snapToGrid w:val="0"/>
          <w:kern w:val="0"/>
          <w:sz w:val="32"/>
          <w:szCs w:val="32"/>
        </w:rPr>
        <w:t>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kern w:val="0"/>
          <w:sz w:val="32"/>
          <w:szCs w:val="32"/>
          <w:lang w:eastAsia="zh-CN"/>
        </w:rPr>
        <w:t>市、县两级政府电力主管部门负责本辖区内重要电力用户供用电监督管理工作。</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lang w:eastAsia="zh-CN"/>
        </w:rPr>
      </w:pPr>
      <w:r>
        <w:rPr>
          <w:rFonts w:hint="default" w:ascii="仿宋_GB2312" w:hAnsi="仿宋_GB2312" w:eastAsia="仿宋_GB2312" w:cs="仿宋_GB2312"/>
          <w:b w:val="0"/>
          <w:bCs w:val="0"/>
          <w:snapToGrid w:val="0"/>
          <w:kern w:val="0"/>
          <w:sz w:val="32"/>
          <w:szCs w:val="32"/>
          <w:lang w:val="en" w:eastAsia="zh-CN"/>
        </w:rPr>
        <w:t>市发展改革委</w:t>
      </w:r>
      <w:r>
        <w:rPr>
          <w:rFonts w:hint="eastAsia" w:ascii="仿宋_GB2312" w:hAnsi="仿宋_GB2312" w:eastAsia="仿宋_GB2312" w:cs="仿宋_GB2312"/>
          <w:b w:val="0"/>
          <w:bCs w:val="0"/>
          <w:snapToGrid w:val="0"/>
          <w:kern w:val="0"/>
          <w:sz w:val="32"/>
          <w:szCs w:val="32"/>
          <w:lang w:eastAsia="zh-CN"/>
        </w:rPr>
        <w:t>、</w:t>
      </w:r>
      <w:r>
        <w:rPr>
          <w:rFonts w:hint="default" w:ascii="仿宋_GB2312" w:hAnsi="仿宋_GB2312" w:eastAsia="仿宋_GB2312" w:cs="仿宋_GB2312"/>
          <w:b w:val="0"/>
          <w:bCs w:val="0"/>
          <w:snapToGrid w:val="0"/>
          <w:kern w:val="0"/>
          <w:sz w:val="32"/>
          <w:szCs w:val="32"/>
          <w:lang w:val="en" w:eastAsia="zh-CN"/>
        </w:rPr>
        <w:t>市工业和信息化局</w:t>
      </w:r>
      <w:r>
        <w:rPr>
          <w:rFonts w:hint="eastAsia" w:ascii="仿宋_GB2312" w:hAnsi="仿宋_GB2312" w:eastAsia="仿宋_GB2312" w:cs="仿宋_GB2312"/>
          <w:b w:val="0"/>
          <w:bCs w:val="0"/>
          <w:snapToGrid w:val="0"/>
          <w:kern w:val="0"/>
          <w:sz w:val="32"/>
          <w:szCs w:val="32"/>
          <w:lang w:eastAsia="zh-CN"/>
        </w:rPr>
        <w:t>、</w:t>
      </w:r>
      <w:r>
        <w:rPr>
          <w:rFonts w:hint="default" w:ascii="仿宋_GB2312" w:hAnsi="仿宋_GB2312" w:eastAsia="仿宋_GB2312" w:cs="仿宋_GB2312"/>
          <w:b w:val="0"/>
          <w:bCs w:val="0"/>
          <w:snapToGrid w:val="0"/>
          <w:kern w:val="0"/>
          <w:sz w:val="32"/>
          <w:szCs w:val="32"/>
          <w:lang w:val="en" w:eastAsia="zh-CN"/>
        </w:rPr>
        <w:t>市住房城乡建设局</w:t>
      </w:r>
      <w:r>
        <w:rPr>
          <w:rFonts w:hint="eastAsia" w:ascii="仿宋_GB2312" w:hAnsi="仿宋_GB2312" w:eastAsia="仿宋_GB2312" w:cs="仿宋_GB2312"/>
          <w:b w:val="0"/>
          <w:bCs w:val="0"/>
          <w:snapToGrid w:val="0"/>
          <w:kern w:val="0"/>
          <w:sz w:val="32"/>
          <w:szCs w:val="32"/>
          <w:lang w:eastAsia="zh-CN"/>
        </w:rPr>
        <w:t>、市交通运输局、市商务局、</w:t>
      </w:r>
      <w:r>
        <w:rPr>
          <w:rFonts w:hint="default" w:ascii="仿宋_GB2312" w:hAnsi="仿宋_GB2312" w:eastAsia="仿宋_GB2312" w:cs="仿宋_GB2312"/>
          <w:b w:val="0"/>
          <w:bCs w:val="0"/>
          <w:snapToGrid w:val="0"/>
          <w:kern w:val="0"/>
          <w:sz w:val="32"/>
          <w:szCs w:val="32"/>
          <w:lang w:val="en" w:eastAsia="zh-CN"/>
        </w:rPr>
        <w:t>市文化旅游和广播电视局</w:t>
      </w:r>
      <w:r>
        <w:rPr>
          <w:rFonts w:hint="eastAsia" w:ascii="仿宋_GB2312" w:hAnsi="仿宋_GB2312" w:eastAsia="仿宋_GB2312" w:cs="仿宋_GB2312"/>
          <w:b w:val="0"/>
          <w:bCs w:val="0"/>
          <w:snapToGrid w:val="0"/>
          <w:kern w:val="0"/>
          <w:sz w:val="32"/>
          <w:szCs w:val="32"/>
          <w:lang w:eastAsia="zh-CN"/>
        </w:rPr>
        <w:t>、市卫生健康委、市应急管理局、市通信管理办等相关行业安全生产主管部门依据职责分工，在各自职责范围内共同做好重要电力用户供用电安全的指导和管理工作。指导、督促各自职责范围内符合条件的相关单位申报重要电力用户，及时向供电企业提供相关佐证材料。</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snapToGrid w:val="0"/>
          <w:kern w:val="0"/>
          <w:sz w:val="32"/>
          <w:szCs w:val="32"/>
        </w:rPr>
        <w:t>第</w:t>
      </w:r>
      <w:r>
        <w:rPr>
          <w:rFonts w:hint="eastAsia" w:ascii="黑体" w:hAnsi="黑体" w:eastAsia="黑体" w:cs="黑体"/>
          <w:b w:val="0"/>
          <w:bCs w:val="0"/>
          <w:snapToGrid w:val="0"/>
          <w:kern w:val="0"/>
          <w:sz w:val="32"/>
          <w:szCs w:val="32"/>
          <w:lang w:eastAsia="zh-CN"/>
        </w:rPr>
        <w:t>五</w:t>
      </w:r>
      <w:r>
        <w:rPr>
          <w:rFonts w:hint="eastAsia" w:ascii="黑体" w:hAnsi="黑体" w:eastAsia="黑体" w:cs="黑体"/>
          <w:b w:val="0"/>
          <w:bCs w:val="0"/>
          <w:snapToGrid w:val="0"/>
          <w:kern w:val="0"/>
          <w:sz w:val="32"/>
          <w:szCs w:val="32"/>
        </w:rPr>
        <w:t>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color w:val="auto"/>
          <w:sz w:val="32"/>
          <w:szCs w:val="32"/>
          <w:highlight w:val="none"/>
          <w:lang w:val="en-US" w:eastAsia="zh-CN"/>
        </w:rPr>
        <w:t>严格按照电力安全事故应急处置和调查处理条例等要求认定重要电力用户，由市级电力主管部门组织供电企业和电力用户按照用户申请、供电企业认定、电力主管部门批准的程序开展认定工作。</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（一）电力用户根据自身用电性质向供电企业申报并确保相关材料内容完整、真实有效。</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属于重要电力用户范围中工业类的电力用户和未列入重要电力用户范围的电力用户申报重要电力用户的，应当一并提供电力用户建设项目的《安全评价报告》或《安全设施设计》等材料。电力用户未提供相关材料的，由行业安全生产主管部门指导督促其限期提供。</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2.属于重要电力用户范围中社会类的电力用户申报重要电力用户的，可以提供电力用户建设项目的《安全评价报告》或《安全设施设计》等材料。</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（二）供电企业应当依据相关电力法律法规、技术规范、标准，结合电力用户提供的材料及中断供电的危害程度，并对照重要电力用户范围，对电力用户重要性等级进行认定。</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（三）供电企业认定后形成重要电力用户名单，报送市级电力主管部门进行核准并予以公布。</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电力用户对认定结果存在异议的，供电企业可按照市直有关部门安全生产任务分工征求该用户所属行业安全生产主管部门意见后，提出最终认定意见。</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lang w:eastAsia="zh-CN"/>
        </w:rPr>
      </w:pPr>
      <w:r>
        <w:rPr>
          <w:rFonts w:hint="eastAsia" w:ascii="仿宋_GB2312" w:hAnsi="仿宋_GB2312" w:eastAsia="仿宋_GB2312" w:cs="仿宋_GB2312"/>
          <w:b w:val="0"/>
          <w:bCs w:val="0"/>
          <w:color w:val="auto"/>
          <w:sz w:val="32"/>
          <w:szCs w:val="32"/>
          <w:highlight w:val="none"/>
          <w:lang w:val="en-US" w:eastAsia="zh-CN"/>
        </w:rPr>
        <w:t>（四）市级电力主管部门可以根据实际管理需要，依法制定重要电力用户认定和核查的实施细则。</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snapToGrid w:val="0"/>
          <w:kern w:val="0"/>
          <w:sz w:val="32"/>
          <w:szCs w:val="32"/>
        </w:rPr>
        <w:t>第</w:t>
      </w:r>
      <w:r>
        <w:rPr>
          <w:rFonts w:hint="eastAsia" w:ascii="黑体" w:hAnsi="黑体" w:eastAsia="黑体" w:cs="黑体"/>
          <w:b w:val="0"/>
          <w:bCs w:val="0"/>
          <w:snapToGrid w:val="0"/>
          <w:kern w:val="0"/>
          <w:sz w:val="32"/>
          <w:szCs w:val="32"/>
          <w:lang w:eastAsia="zh-CN"/>
        </w:rPr>
        <w:t>六</w:t>
      </w:r>
      <w:r>
        <w:rPr>
          <w:rFonts w:hint="eastAsia" w:ascii="黑体" w:hAnsi="黑体" w:eastAsia="黑体" w:cs="黑体"/>
          <w:b w:val="0"/>
          <w:bCs w:val="0"/>
          <w:snapToGrid w:val="0"/>
          <w:kern w:val="0"/>
          <w:sz w:val="32"/>
          <w:szCs w:val="32"/>
        </w:rPr>
        <w:t>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color w:val="auto"/>
          <w:sz w:val="32"/>
          <w:szCs w:val="32"/>
          <w:highlight w:val="none"/>
          <w:lang w:val="en-US" w:eastAsia="zh-CN"/>
        </w:rPr>
        <w:t>重要电力用户名单确定后，供电企业应根据需要对其进行动态管理，每年审核新增和变更的重要电力用户。</w:t>
      </w:r>
    </w:p>
    <w:p>
      <w:pPr>
        <w:keepNext w:val="0"/>
        <w:keepLines w:val="0"/>
        <w:pageBreakBefore w:val="0"/>
        <w:numPr>
          <w:ilvl w:val="0"/>
          <w:numId w:val="1"/>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对于新装电力用户，在业务受理环节，按照本办法第五条重要电力用户认定程序执行。供电企业应结合新装电力用户重要等级认定结果合理制定供电方案，并按照送电时间节点报送市级电力主管部门批准纳入重要电力用户名单。</w:t>
      </w:r>
    </w:p>
    <w:p>
      <w:pPr>
        <w:keepNext w:val="0"/>
        <w:keepLines w:val="0"/>
        <w:pageBreakBefore w:val="0"/>
        <w:numPr>
          <w:ilvl w:val="0"/>
          <w:numId w:val="1"/>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存量电力用户在行业类别、生产工艺、负荷性质等用电现场情况发生变化时，应主动如实告知供电企业备案。供电企业应定期对电力用户现场用电情况开展核查，对重要电力用户名单进行动态更新。</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1.对不符合重要电力用户认定标准或已销户的重要电力用户，由供电企业报送市级电力主管部门批准后，退出重要电力用户管理。</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2.对符合重要电力用户认定标准的，由供电企业报送市级电力主管部门批准后，纳入重要电力用户管理。</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color w:val="auto"/>
          <w:kern w:val="0"/>
          <w:sz w:val="32"/>
          <w:szCs w:val="32"/>
        </w:rPr>
      </w:pPr>
      <w:r>
        <w:rPr>
          <w:rFonts w:hint="eastAsia" w:ascii="黑体" w:hAnsi="黑体" w:eastAsia="黑体" w:cs="黑体"/>
          <w:b w:val="0"/>
          <w:bCs w:val="0"/>
          <w:snapToGrid w:val="0"/>
          <w:kern w:val="0"/>
          <w:sz w:val="32"/>
          <w:szCs w:val="32"/>
          <w:lang w:eastAsia="zh-CN"/>
        </w:rPr>
        <w:t>第七条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kern w:val="0"/>
          <w:sz w:val="32"/>
          <w:szCs w:val="32"/>
          <w:lang w:eastAsia="zh-CN"/>
        </w:rPr>
        <w:t>根</w:t>
      </w:r>
      <w:r>
        <w:rPr>
          <w:rFonts w:hint="eastAsia" w:ascii="仿宋_GB2312" w:hAnsi="仿宋_GB2312" w:eastAsia="仿宋_GB2312" w:cs="仿宋_GB2312"/>
          <w:b w:val="0"/>
          <w:bCs w:val="0"/>
          <w:snapToGrid w:val="0"/>
          <w:kern w:val="0"/>
          <w:sz w:val="32"/>
          <w:szCs w:val="32"/>
        </w:rPr>
        <w:t>据</w:t>
      </w:r>
      <w:r>
        <w:rPr>
          <w:rFonts w:hint="eastAsia" w:ascii="仿宋_GB2312" w:hAnsi="仿宋_GB2312" w:eastAsia="仿宋_GB2312" w:cs="仿宋_GB2312"/>
          <w:b w:val="0"/>
          <w:bCs w:val="0"/>
          <w:snapToGrid w:val="0"/>
          <w:kern w:val="0"/>
          <w:sz w:val="32"/>
          <w:szCs w:val="32"/>
          <w:lang w:eastAsia="zh-CN"/>
        </w:rPr>
        <w:t>目前不同类型的重要电力用户的断电后果，</w:t>
      </w:r>
      <w:r>
        <w:rPr>
          <w:rFonts w:hint="eastAsia" w:ascii="仿宋_GB2312" w:hAnsi="仿宋_GB2312" w:eastAsia="仿宋_GB2312" w:cs="仿宋_GB2312"/>
          <w:b w:val="0"/>
          <w:bCs w:val="0"/>
          <w:snapToGrid w:val="0"/>
          <w:kern w:val="0"/>
          <w:sz w:val="32"/>
          <w:szCs w:val="32"/>
        </w:rPr>
        <w:t>重要电力用户分</w:t>
      </w:r>
      <w:r>
        <w:rPr>
          <w:rFonts w:hint="eastAsia" w:ascii="仿宋_GB2312" w:hAnsi="仿宋_GB2312" w:eastAsia="仿宋_GB2312" w:cs="仿宋_GB2312"/>
          <w:b w:val="0"/>
          <w:bCs w:val="0"/>
          <w:snapToGrid w:val="0"/>
          <w:color w:val="auto"/>
          <w:kern w:val="0"/>
          <w:sz w:val="32"/>
          <w:szCs w:val="32"/>
        </w:rPr>
        <w:t>为工业类和社会类两</w:t>
      </w:r>
      <w:r>
        <w:rPr>
          <w:rFonts w:hint="eastAsia" w:ascii="仿宋_GB2312" w:hAnsi="仿宋_GB2312" w:eastAsia="仿宋_GB2312" w:cs="仿宋_GB2312"/>
          <w:b w:val="0"/>
          <w:bCs w:val="0"/>
          <w:snapToGrid w:val="0"/>
          <w:color w:val="auto"/>
          <w:kern w:val="0"/>
          <w:sz w:val="32"/>
          <w:szCs w:val="32"/>
          <w:lang w:eastAsia="zh-CN"/>
        </w:rPr>
        <w:t>大</w:t>
      </w:r>
      <w:r>
        <w:rPr>
          <w:rFonts w:hint="eastAsia" w:ascii="仿宋_GB2312" w:hAnsi="仿宋_GB2312" w:eastAsia="仿宋_GB2312" w:cs="仿宋_GB2312"/>
          <w:b w:val="0"/>
          <w:bCs w:val="0"/>
          <w:snapToGrid w:val="0"/>
          <w:color w:val="auto"/>
          <w:kern w:val="0"/>
          <w:sz w:val="32"/>
          <w:szCs w:val="32"/>
        </w:rPr>
        <w:t>类，工业类分为煤矿及非煤矿山、危险化学品、冶金、电子及特种制造业、军工5类，社会类分为党政司法机关和国际组织、广播电视、通信、信息安全、公共事业、交通运输、医疗卫生</w:t>
      </w:r>
      <w:r>
        <w:rPr>
          <w:rFonts w:hint="eastAsia" w:ascii="仿宋_GB2312" w:hAnsi="仿宋_GB2312" w:eastAsia="仿宋_GB2312" w:cs="仿宋_GB2312"/>
          <w:b w:val="0"/>
          <w:bCs w:val="0"/>
          <w:snapToGrid w:val="0"/>
          <w:color w:val="auto"/>
          <w:kern w:val="0"/>
          <w:sz w:val="32"/>
          <w:szCs w:val="32"/>
          <w:lang w:eastAsia="zh-CN"/>
        </w:rPr>
        <w:t>、</w:t>
      </w:r>
      <w:r>
        <w:rPr>
          <w:rFonts w:hint="eastAsia" w:ascii="仿宋_GB2312" w:hAnsi="仿宋_GB2312" w:eastAsia="仿宋_GB2312" w:cs="仿宋_GB2312"/>
          <w:b w:val="0"/>
          <w:bCs w:val="0"/>
          <w:snapToGrid w:val="0"/>
          <w:color w:val="auto"/>
          <w:kern w:val="0"/>
          <w:sz w:val="32"/>
          <w:szCs w:val="32"/>
        </w:rPr>
        <w:t>人员密集场所8类。</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color w:val="auto"/>
          <w:kern w:val="0"/>
          <w:sz w:val="32"/>
          <w:szCs w:val="32"/>
          <w:lang w:eastAsia="zh-CN"/>
        </w:rPr>
      </w:pPr>
      <w:r>
        <w:rPr>
          <w:rFonts w:hint="eastAsia" w:ascii="仿宋_GB2312" w:hAnsi="仿宋_GB2312" w:eastAsia="仿宋_GB2312" w:cs="仿宋_GB2312"/>
          <w:b w:val="0"/>
          <w:bCs w:val="0"/>
          <w:snapToGrid w:val="0"/>
          <w:color w:val="auto"/>
          <w:kern w:val="0"/>
          <w:sz w:val="32"/>
          <w:szCs w:val="32"/>
        </w:rPr>
        <w:t>重要电力用户</w:t>
      </w:r>
      <w:r>
        <w:rPr>
          <w:rFonts w:hint="eastAsia" w:ascii="仿宋_GB2312" w:hAnsi="仿宋_GB2312" w:eastAsia="仿宋_GB2312" w:cs="仿宋_GB2312"/>
          <w:b w:val="0"/>
          <w:bCs w:val="0"/>
          <w:snapToGrid w:val="0"/>
          <w:color w:val="auto"/>
          <w:kern w:val="0"/>
          <w:sz w:val="32"/>
          <w:szCs w:val="32"/>
          <w:lang w:eastAsia="zh-CN"/>
        </w:rPr>
        <w:t>分类参照</w:t>
      </w:r>
      <w:r>
        <w:rPr>
          <w:rFonts w:hint="eastAsia" w:ascii="仿宋_GB2312" w:hAnsi="仿宋_GB2312" w:eastAsia="仿宋_GB2312" w:cs="仿宋_GB2312"/>
          <w:b w:val="0"/>
          <w:bCs w:val="0"/>
          <w:snapToGrid w:val="0"/>
          <w:kern w:val="0"/>
          <w:sz w:val="32"/>
          <w:szCs w:val="32"/>
        </w:rPr>
        <w:t>《重要电力用户供电电源及自备应急电源配置技术规范》</w:t>
      </w:r>
      <w:r>
        <w:rPr>
          <w:rFonts w:hint="eastAsia" w:ascii="仿宋_GB2312" w:hAnsi="仿宋_GB2312" w:eastAsia="仿宋_GB2312" w:cs="仿宋_GB2312"/>
          <w:b w:val="0"/>
          <w:bCs w:val="0"/>
          <w:snapToGrid w:val="0"/>
          <w:kern w:val="0"/>
          <w:sz w:val="32"/>
          <w:szCs w:val="32"/>
          <w:lang w:eastAsia="zh-CN"/>
        </w:rPr>
        <w:t>（</w:t>
      </w:r>
      <w:r>
        <w:rPr>
          <w:rFonts w:hint="eastAsia" w:ascii="仿宋_GB2312" w:hAnsi="仿宋_GB2312" w:eastAsia="仿宋_GB2312" w:cs="仿宋_GB2312"/>
          <w:b w:val="0"/>
          <w:bCs w:val="0"/>
          <w:snapToGrid w:val="0"/>
          <w:kern w:val="0"/>
          <w:sz w:val="32"/>
          <w:szCs w:val="32"/>
          <w:lang w:val="en-US" w:eastAsia="zh-CN"/>
        </w:rPr>
        <w:t>GB/T29328-2018</w:t>
      </w:r>
      <w:r>
        <w:rPr>
          <w:rFonts w:hint="eastAsia" w:ascii="仿宋_GB2312" w:hAnsi="仿宋_GB2312" w:eastAsia="仿宋_GB2312" w:cs="仿宋_GB2312"/>
          <w:b w:val="0"/>
          <w:bCs w:val="0"/>
          <w:snapToGrid w:val="0"/>
          <w:kern w:val="0"/>
          <w:sz w:val="32"/>
          <w:szCs w:val="32"/>
          <w:lang w:eastAsia="zh-CN"/>
        </w:rPr>
        <w:t>）</w:t>
      </w:r>
      <w:r>
        <w:rPr>
          <w:rFonts w:hint="eastAsia" w:ascii="仿宋_GB2312" w:hAnsi="仿宋_GB2312" w:eastAsia="仿宋_GB2312" w:cs="仿宋_GB2312"/>
          <w:b w:val="0"/>
          <w:bCs w:val="0"/>
          <w:snapToGrid w:val="0"/>
          <w:color w:val="auto"/>
          <w:kern w:val="0"/>
          <w:sz w:val="32"/>
          <w:szCs w:val="32"/>
          <w:lang w:eastAsia="zh-CN"/>
        </w:rPr>
        <w:t>执行。重要电力用户分类应根据我市经济社会发展需要予以调整。</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黑体" w:hAnsi="黑体" w:eastAsia="黑体" w:cs="黑体"/>
          <w:b w:val="0"/>
          <w:bCs w:val="0"/>
          <w:snapToGrid w:val="0"/>
          <w:kern w:val="0"/>
          <w:sz w:val="32"/>
          <w:szCs w:val="32"/>
          <w:lang w:eastAsia="zh-CN"/>
        </w:rPr>
        <w:t>第八条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kern w:val="0"/>
          <w:sz w:val="32"/>
          <w:szCs w:val="32"/>
        </w:rPr>
        <w:t>根据供电可靠性的要求以及中断供电危害程度，</w:t>
      </w:r>
      <w:r>
        <w:rPr>
          <w:rFonts w:hint="eastAsia" w:ascii="仿宋_GB2312" w:hAnsi="仿宋_GB2312" w:eastAsia="仿宋_GB2312" w:cs="仿宋_GB2312"/>
          <w:b w:val="0"/>
          <w:bCs w:val="0"/>
          <w:snapToGrid w:val="0"/>
          <w:kern w:val="0"/>
          <w:sz w:val="32"/>
          <w:szCs w:val="32"/>
          <w:lang w:eastAsia="zh-CN"/>
        </w:rPr>
        <w:t>我市将</w:t>
      </w:r>
      <w:r>
        <w:rPr>
          <w:rFonts w:hint="eastAsia" w:ascii="仿宋_GB2312" w:hAnsi="仿宋_GB2312" w:eastAsia="仿宋_GB2312" w:cs="仿宋_GB2312"/>
          <w:b w:val="0"/>
          <w:bCs w:val="0"/>
          <w:snapToGrid w:val="0"/>
          <w:kern w:val="0"/>
          <w:sz w:val="32"/>
          <w:szCs w:val="32"/>
        </w:rPr>
        <w:t>重要电力用户分为一级重要电力用户、二级重要电力用户和临时性重要电力用户。</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一级重要</w:t>
      </w:r>
      <w:r>
        <w:rPr>
          <w:rFonts w:hint="eastAsia" w:ascii="仿宋_GB2312" w:hAnsi="仿宋_GB2312" w:eastAsia="仿宋_GB2312" w:cs="仿宋_GB2312"/>
          <w:b w:val="0"/>
          <w:bCs w:val="0"/>
          <w:snapToGrid w:val="0"/>
          <w:kern w:val="0"/>
          <w:sz w:val="32"/>
          <w:szCs w:val="32"/>
          <w:lang w:eastAsia="zh-CN"/>
        </w:rPr>
        <w:t>电力</w:t>
      </w:r>
      <w:r>
        <w:rPr>
          <w:rFonts w:hint="eastAsia" w:ascii="仿宋_GB2312" w:hAnsi="仿宋_GB2312" w:eastAsia="仿宋_GB2312" w:cs="仿宋_GB2312"/>
          <w:b w:val="0"/>
          <w:bCs w:val="0"/>
          <w:snapToGrid w:val="0"/>
          <w:kern w:val="0"/>
          <w:sz w:val="32"/>
          <w:szCs w:val="32"/>
        </w:rPr>
        <w:t>用户是指中断供电可能产生下列后果之一的</w:t>
      </w:r>
      <w:r>
        <w:rPr>
          <w:rFonts w:hint="eastAsia" w:ascii="仿宋_GB2312" w:hAnsi="仿宋_GB2312" w:eastAsia="仿宋_GB2312" w:cs="仿宋_GB2312"/>
          <w:b w:val="0"/>
          <w:bCs w:val="0"/>
          <w:snapToGrid w:val="0"/>
          <w:kern w:val="0"/>
          <w:sz w:val="32"/>
          <w:szCs w:val="32"/>
          <w:lang w:eastAsia="zh-CN"/>
        </w:rPr>
        <w:t>电力用户</w:t>
      </w:r>
      <w:r>
        <w:rPr>
          <w:rFonts w:hint="eastAsia" w:ascii="仿宋_GB2312" w:hAnsi="仿宋_GB2312" w:eastAsia="仿宋_GB2312" w:cs="仿宋_GB2312"/>
          <w:b w:val="0"/>
          <w:bCs w:val="0"/>
          <w:snapToGrid w:val="0"/>
          <w:kern w:val="0"/>
          <w:sz w:val="32"/>
          <w:szCs w:val="32"/>
        </w:rPr>
        <w:t>：</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（一）</w:t>
      </w:r>
      <w:r>
        <w:rPr>
          <w:rFonts w:hint="eastAsia" w:ascii="仿宋_GB2312" w:hAnsi="仿宋_GB2312" w:eastAsia="仿宋_GB2312" w:cs="仿宋_GB2312"/>
          <w:b w:val="0"/>
          <w:bCs w:val="0"/>
          <w:snapToGrid w:val="0"/>
          <w:kern w:val="0"/>
          <w:sz w:val="32"/>
          <w:szCs w:val="32"/>
        </w:rPr>
        <w:t>直接引发人身伤亡的；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（二）</w:t>
      </w:r>
      <w:r>
        <w:rPr>
          <w:rFonts w:hint="eastAsia" w:ascii="仿宋_GB2312" w:hAnsi="仿宋_GB2312" w:eastAsia="仿宋_GB2312" w:cs="仿宋_GB2312"/>
          <w:b w:val="0"/>
          <w:bCs w:val="0"/>
          <w:snapToGrid w:val="0"/>
          <w:kern w:val="0"/>
          <w:sz w:val="32"/>
          <w:szCs w:val="32"/>
        </w:rPr>
        <w:t>造成严重环境污染的；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（三）</w:t>
      </w:r>
      <w:r>
        <w:rPr>
          <w:rFonts w:hint="eastAsia" w:ascii="仿宋_GB2312" w:hAnsi="仿宋_GB2312" w:eastAsia="仿宋_GB2312" w:cs="仿宋_GB2312"/>
          <w:b w:val="0"/>
          <w:bCs w:val="0"/>
          <w:snapToGrid w:val="0"/>
          <w:kern w:val="0"/>
          <w:sz w:val="32"/>
          <w:szCs w:val="32"/>
        </w:rPr>
        <w:t>发生中毒、爆炸</w:t>
      </w:r>
      <w:r>
        <w:rPr>
          <w:rFonts w:hint="eastAsia" w:ascii="仿宋_GB2312" w:hAnsi="仿宋_GB2312" w:eastAsia="仿宋_GB2312" w:cs="仿宋_GB2312"/>
          <w:b w:val="0"/>
          <w:bCs w:val="0"/>
          <w:snapToGrid w:val="0"/>
          <w:kern w:val="0"/>
          <w:sz w:val="32"/>
          <w:szCs w:val="32"/>
          <w:lang w:eastAsia="zh-CN"/>
        </w:rPr>
        <w:t>或</w:t>
      </w:r>
      <w:r>
        <w:rPr>
          <w:rFonts w:hint="eastAsia" w:ascii="仿宋_GB2312" w:hAnsi="仿宋_GB2312" w:eastAsia="仿宋_GB2312" w:cs="仿宋_GB2312"/>
          <w:b w:val="0"/>
          <w:bCs w:val="0"/>
          <w:snapToGrid w:val="0"/>
          <w:kern w:val="0"/>
          <w:sz w:val="32"/>
          <w:szCs w:val="32"/>
        </w:rPr>
        <w:t>火灾的；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（四）</w:t>
      </w:r>
      <w:r>
        <w:rPr>
          <w:rFonts w:hint="eastAsia" w:ascii="仿宋_GB2312" w:hAnsi="仿宋_GB2312" w:eastAsia="仿宋_GB2312" w:cs="仿宋_GB2312"/>
          <w:b w:val="0"/>
          <w:bCs w:val="0"/>
          <w:snapToGrid w:val="0"/>
          <w:kern w:val="0"/>
          <w:sz w:val="32"/>
          <w:szCs w:val="32"/>
        </w:rPr>
        <w:t>造成重大政治影响的；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val="en-US" w:eastAsia="zh-CN"/>
        </w:rPr>
        <w:t>（五）</w:t>
      </w:r>
      <w:r>
        <w:rPr>
          <w:rFonts w:hint="eastAsia" w:ascii="仿宋_GB2312" w:hAnsi="仿宋_GB2312" w:eastAsia="仿宋_GB2312" w:cs="仿宋_GB2312"/>
          <w:b w:val="0"/>
          <w:bCs w:val="0"/>
          <w:snapToGrid w:val="0"/>
          <w:kern w:val="0"/>
          <w:sz w:val="32"/>
          <w:szCs w:val="32"/>
        </w:rPr>
        <w:t>造成重大经济损失的；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val="en-US" w:eastAsia="zh-CN"/>
        </w:rPr>
        <w:t>（六）</w:t>
      </w:r>
      <w:r>
        <w:rPr>
          <w:rFonts w:hint="eastAsia" w:ascii="仿宋_GB2312" w:hAnsi="仿宋_GB2312" w:eastAsia="仿宋_GB2312" w:cs="仿宋_GB2312"/>
          <w:b w:val="0"/>
          <w:bCs w:val="0"/>
          <w:snapToGrid w:val="0"/>
          <w:kern w:val="0"/>
          <w:sz w:val="32"/>
          <w:szCs w:val="32"/>
        </w:rPr>
        <w:t>造成较大范围社会公共秩序严重混乱的。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二级重要</w:t>
      </w:r>
      <w:r>
        <w:rPr>
          <w:rFonts w:hint="eastAsia" w:ascii="仿宋_GB2312" w:hAnsi="仿宋_GB2312" w:eastAsia="仿宋_GB2312" w:cs="仿宋_GB2312"/>
          <w:b w:val="0"/>
          <w:bCs w:val="0"/>
          <w:snapToGrid w:val="0"/>
          <w:kern w:val="0"/>
          <w:sz w:val="32"/>
          <w:szCs w:val="32"/>
          <w:lang w:eastAsia="zh-CN"/>
        </w:rPr>
        <w:t>电力</w:t>
      </w:r>
      <w:r>
        <w:rPr>
          <w:rFonts w:hint="eastAsia" w:ascii="仿宋_GB2312" w:hAnsi="仿宋_GB2312" w:eastAsia="仿宋_GB2312" w:cs="仿宋_GB2312"/>
          <w:b w:val="0"/>
          <w:bCs w:val="0"/>
          <w:snapToGrid w:val="0"/>
          <w:kern w:val="0"/>
          <w:sz w:val="32"/>
          <w:szCs w:val="32"/>
        </w:rPr>
        <w:t>用户是指中断供电可能产生下列后果之一的</w:t>
      </w:r>
      <w:r>
        <w:rPr>
          <w:rFonts w:hint="eastAsia" w:ascii="仿宋_GB2312" w:hAnsi="仿宋_GB2312" w:eastAsia="仿宋_GB2312" w:cs="仿宋_GB2312"/>
          <w:b w:val="0"/>
          <w:bCs w:val="0"/>
          <w:snapToGrid w:val="0"/>
          <w:kern w:val="0"/>
          <w:sz w:val="32"/>
          <w:szCs w:val="32"/>
          <w:lang w:eastAsia="zh-CN"/>
        </w:rPr>
        <w:t>电力用户</w:t>
      </w:r>
      <w:r>
        <w:rPr>
          <w:rFonts w:hint="eastAsia" w:ascii="仿宋_GB2312" w:hAnsi="仿宋_GB2312" w:eastAsia="仿宋_GB2312" w:cs="仿宋_GB2312"/>
          <w:b w:val="0"/>
          <w:bCs w:val="0"/>
          <w:snapToGrid w:val="0"/>
          <w:kern w:val="0"/>
          <w:sz w:val="32"/>
          <w:szCs w:val="32"/>
        </w:rPr>
        <w:t>：</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（一）</w:t>
      </w:r>
      <w:r>
        <w:rPr>
          <w:rFonts w:hint="eastAsia" w:ascii="仿宋_GB2312" w:hAnsi="仿宋_GB2312" w:eastAsia="仿宋_GB2312" w:cs="仿宋_GB2312"/>
          <w:b w:val="0"/>
          <w:bCs w:val="0"/>
          <w:snapToGrid w:val="0"/>
          <w:kern w:val="0"/>
          <w:sz w:val="32"/>
          <w:szCs w:val="32"/>
        </w:rPr>
        <w:t>造成较大环境污染的；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（二）</w:t>
      </w:r>
      <w:r>
        <w:rPr>
          <w:rFonts w:hint="eastAsia" w:ascii="仿宋_GB2312" w:hAnsi="仿宋_GB2312" w:eastAsia="仿宋_GB2312" w:cs="仿宋_GB2312"/>
          <w:b w:val="0"/>
          <w:bCs w:val="0"/>
          <w:snapToGrid w:val="0"/>
          <w:kern w:val="0"/>
          <w:sz w:val="32"/>
          <w:szCs w:val="32"/>
        </w:rPr>
        <w:t>造成较大政治影响的；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lang w:eastAsia="zh-CN"/>
        </w:rPr>
        <w:t>（三）</w:t>
      </w:r>
      <w:r>
        <w:rPr>
          <w:rFonts w:hint="eastAsia" w:ascii="仿宋_GB2312" w:hAnsi="仿宋_GB2312" w:eastAsia="仿宋_GB2312" w:cs="仿宋_GB2312"/>
          <w:b w:val="0"/>
          <w:bCs w:val="0"/>
          <w:snapToGrid w:val="0"/>
          <w:kern w:val="0"/>
          <w:sz w:val="32"/>
          <w:szCs w:val="32"/>
        </w:rPr>
        <w:t>造成较大经济损失的；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napToGrid w:val="0"/>
          <w:kern w:val="0"/>
          <w:sz w:val="32"/>
          <w:szCs w:val="32"/>
          <w:lang w:eastAsia="zh-CN"/>
        </w:rPr>
        <w:t>（四）</w:t>
      </w:r>
      <w:r>
        <w:rPr>
          <w:rFonts w:hint="eastAsia" w:ascii="仿宋_GB2312" w:hAnsi="仿宋_GB2312" w:eastAsia="仿宋_GB2312" w:cs="仿宋_GB2312"/>
          <w:b w:val="0"/>
          <w:bCs w:val="0"/>
          <w:snapToGrid w:val="0"/>
          <w:kern w:val="0"/>
          <w:sz w:val="32"/>
          <w:szCs w:val="32"/>
        </w:rPr>
        <w:t>造成一定范围社会公共秩序严重混乱的。</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临时性重要电力用户指需要临时特殊供电保障的电力用户。</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rPr>
      </w:pPr>
      <w:r>
        <w:rPr>
          <w:rFonts w:hint="eastAsia" w:ascii="黑体" w:hAnsi="黑体" w:eastAsia="黑体" w:cs="黑体"/>
          <w:b w:val="0"/>
          <w:bCs w:val="0"/>
          <w:snapToGrid w:val="0"/>
          <w:kern w:val="0"/>
          <w:sz w:val="32"/>
          <w:szCs w:val="32"/>
          <w:lang w:eastAsia="zh-CN"/>
        </w:rPr>
        <w:t>第九条</w:t>
      </w:r>
      <w:r>
        <w:rPr>
          <w:rFonts w:hint="eastAsia" w:ascii="仿宋_GB2312" w:hAnsi="仿宋_GB2312" w:eastAsia="仿宋_GB2312" w:cs="仿宋_GB2312"/>
          <w:b w:val="0"/>
          <w:bCs w:val="0"/>
          <w:snapToGrid w:val="0"/>
          <w:kern w:val="0"/>
          <w:sz w:val="32"/>
          <w:szCs w:val="32"/>
          <w:lang w:val="en-US" w:eastAsia="zh-CN"/>
        </w:rPr>
        <w:t xml:space="preserve"> </w:t>
      </w:r>
      <w:r>
        <w:rPr>
          <w:rFonts w:hint="eastAsia" w:ascii="仿宋_GB2312" w:hAnsi="仿宋_GB2312" w:eastAsia="仿宋_GB2312" w:cs="仿宋_GB2312"/>
          <w:b w:val="0"/>
          <w:bCs w:val="0"/>
          <w:snapToGrid w:val="0"/>
          <w:kern w:val="0"/>
          <w:sz w:val="32"/>
          <w:szCs w:val="32"/>
        </w:rPr>
        <w:t>重要电力用户的供电电源应当采用多电源</w:t>
      </w:r>
      <w:r>
        <w:rPr>
          <w:rFonts w:hint="eastAsia" w:ascii="仿宋_GB2312" w:hAnsi="仿宋_GB2312" w:eastAsia="仿宋_GB2312" w:cs="仿宋_GB2312"/>
          <w:b w:val="0"/>
          <w:bCs w:val="0"/>
          <w:snapToGrid w:val="0"/>
          <w:kern w:val="0"/>
          <w:sz w:val="32"/>
          <w:szCs w:val="32"/>
          <w:lang w:eastAsia="zh-CN"/>
        </w:rPr>
        <w:t>、</w:t>
      </w:r>
      <w:r>
        <w:rPr>
          <w:rFonts w:hint="eastAsia" w:ascii="仿宋_GB2312" w:hAnsi="仿宋_GB2312" w:eastAsia="仿宋_GB2312" w:cs="仿宋_GB2312"/>
          <w:b w:val="0"/>
          <w:bCs w:val="0"/>
          <w:snapToGrid w:val="0"/>
          <w:kern w:val="0"/>
          <w:sz w:val="32"/>
          <w:szCs w:val="32"/>
        </w:rPr>
        <w:t>双电源或双回路供电，当任何一路或一路以上电源发生故障时，至少仍有一路电源应能对保安负荷供电。</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lang w:eastAsia="zh-CN"/>
        </w:rPr>
      </w:pPr>
      <w:r>
        <w:rPr>
          <w:rFonts w:hint="eastAsia" w:ascii="仿宋_GB2312" w:hAnsi="仿宋_GB2312" w:eastAsia="仿宋_GB2312" w:cs="仿宋_GB2312"/>
          <w:b w:val="0"/>
          <w:bCs w:val="0"/>
          <w:snapToGrid w:val="0"/>
          <w:kern w:val="0"/>
          <w:sz w:val="32"/>
          <w:szCs w:val="32"/>
          <w:lang w:eastAsia="zh-CN"/>
        </w:rPr>
        <w:t>按照重要电力用户等级应分别符合以下要求：</w:t>
      </w:r>
    </w:p>
    <w:p>
      <w:pPr>
        <w:keepNext w:val="0"/>
        <w:keepLines w:val="0"/>
        <w:pageBreakBefore w:val="0"/>
        <w:wordWrap/>
        <w:topLinePunct w:val="0"/>
        <w:autoSpaceDE/>
        <w:autoSpaceDN/>
        <w:bidi w:val="0"/>
        <w:adjustRightInd/>
        <w:spacing w:line="600" w:lineRule="exact"/>
        <w:ind w:firstLine="622"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一级重要电力用户</w:t>
      </w:r>
      <w:r>
        <w:rPr>
          <w:rFonts w:hint="eastAsia" w:ascii="仿宋_GB2312" w:hAnsi="仿宋_GB2312" w:eastAsia="仿宋_GB2312" w:cs="仿宋_GB2312"/>
          <w:b w:val="0"/>
          <w:bCs w:val="0"/>
          <w:sz w:val="32"/>
          <w:szCs w:val="32"/>
          <w:lang w:eastAsia="zh-CN"/>
        </w:rPr>
        <w:t>至少应采用双</w:t>
      </w:r>
      <w:r>
        <w:rPr>
          <w:rFonts w:hint="eastAsia" w:ascii="仿宋_GB2312" w:hAnsi="仿宋_GB2312" w:eastAsia="仿宋_GB2312" w:cs="仿宋_GB2312"/>
          <w:b w:val="0"/>
          <w:bCs w:val="0"/>
          <w:sz w:val="32"/>
          <w:szCs w:val="32"/>
        </w:rPr>
        <w:t>电源供电，两</w:t>
      </w:r>
      <w:r>
        <w:rPr>
          <w:rFonts w:hint="eastAsia" w:ascii="仿宋_GB2312" w:hAnsi="仿宋_GB2312" w:eastAsia="仿宋_GB2312" w:cs="仿宋_GB2312"/>
          <w:b w:val="0"/>
          <w:bCs w:val="0"/>
          <w:sz w:val="32"/>
          <w:szCs w:val="32"/>
          <w:lang w:eastAsia="zh-CN"/>
        </w:rPr>
        <w:t>回供电线路可以分别来自两个不同的</w:t>
      </w:r>
      <w:r>
        <w:rPr>
          <w:rFonts w:hint="eastAsia" w:ascii="仿宋_GB2312" w:hAnsi="仿宋_GB2312" w:eastAsia="仿宋_GB2312" w:cs="仿宋_GB2312"/>
          <w:b w:val="0"/>
          <w:bCs w:val="0"/>
          <w:sz w:val="32"/>
          <w:szCs w:val="32"/>
        </w:rPr>
        <w:t>变电站</w:t>
      </w:r>
      <w:r>
        <w:rPr>
          <w:rFonts w:hint="eastAsia" w:ascii="仿宋_GB2312" w:hAnsi="仿宋_GB2312" w:eastAsia="仿宋_GB2312" w:cs="仿宋_GB2312"/>
          <w:b w:val="0"/>
          <w:bCs w:val="0"/>
          <w:sz w:val="32"/>
          <w:szCs w:val="32"/>
          <w:lang w:eastAsia="zh-CN"/>
        </w:rPr>
        <w:t>或来自不同电源进线的同一变电站内两段母线。</w:t>
      </w:r>
      <w:r>
        <w:rPr>
          <w:rFonts w:hint="eastAsia" w:ascii="仿宋_GB2312" w:hAnsi="仿宋_GB2312" w:eastAsia="仿宋_GB2312" w:cs="仿宋_GB2312"/>
          <w:b w:val="0"/>
          <w:bCs w:val="0"/>
          <w:sz w:val="32"/>
          <w:szCs w:val="32"/>
        </w:rPr>
        <w:t>当一路电源发生故障时，另一路电源能保证独立正常供电。</w:t>
      </w:r>
      <w:r>
        <w:rPr>
          <w:rFonts w:hint="eastAsia" w:ascii="仿宋_GB2312" w:hAnsi="仿宋_GB2312" w:eastAsia="仿宋_GB2312" w:cs="仿宋_GB2312"/>
          <w:b w:val="0"/>
          <w:bCs w:val="0"/>
          <w:sz w:val="32"/>
          <w:szCs w:val="32"/>
          <w:lang w:eastAsia="zh-CN"/>
        </w:rPr>
        <w:t>采用双电源的同一重要电力用户，不宜采用同杆架设或电缆同沟敷设供电。</w:t>
      </w:r>
    </w:p>
    <w:p>
      <w:pPr>
        <w:keepNext w:val="0"/>
        <w:keepLines w:val="0"/>
        <w:pageBreakBefore w:val="0"/>
        <w:wordWrap/>
        <w:topLinePunct w:val="0"/>
        <w:autoSpaceDE/>
        <w:autoSpaceDN/>
        <w:bidi w:val="0"/>
        <w:adjustRightInd/>
        <w:spacing w:line="600" w:lineRule="exact"/>
        <w:ind w:firstLine="622"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napToGrid w:val="0"/>
          <w:kern w:val="0"/>
          <w:sz w:val="32"/>
          <w:szCs w:val="32"/>
        </w:rPr>
        <w:t>(</w:t>
      </w:r>
      <w:r>
        <w:rPr>
          <w:rFonts w:hint="eastAsia" w:ascii="仿宋_GB2312" w:hAnsi="仿宋_GB2312" w:eastAsia="仿宋_GB2312" w:cs="仿宋_GB2312"/>
          <w:b w:val="0"/>
          <w:bCs w:val="0"/>
          <w:snapToGrid w:val="0"/>
          <w:kern w:val="0"/>
          <w:sz w:val="32"/>
          <w:szCs w:val="32"/>
          <w:lang w:eastAsia="zh-CN"/>
        </w:rPr>
        <w:t>二</w:t>
      </w:r>
      <w:r>
        <w:rPr>
          <w:rFonts w:hint="eastAsia" w:ascii="仿宋_GB2312" w:hAnsi="仿宋_GB2312" w:eastAsia="仿宋_GB2312" w:cs="仿宋_GB2312"/>
          <w:b w:val="0"/>
          <w:bCs w:val="0"/>
          <w:snapToGrid w:val="0"/>
          <w:kern w:val="0"/>
          <w:sz w:val="32"/>
          <w:szCs w:val="32"/>
        </w:rPr>
        <w:t xml:space="preserve">) </w:t>
      </w:r>
      <w:r>
        <w:rPr>
          <w:rFonts w:hint="eastAsia" w:ascii="仿宋_GB2312" w:hAnsi="仿宋_GB2312" w:eastAsia="仿宋_GB2312" w:cs="仿宋_GB2312"/>
          <w:b w:val="0"/>
          <w:bCs w:val="0"/>
          <w:sz w:val="32"/>
          <w:szCs w:val="32"/>
        </w:rPr>
        <w:t>二级重要电力用户</w:t>
      </w:r>
      <w:r>
        <w:rPr>
          <w:rFonts w:hint="eastAsia" w:ascii="仿宋_GB2312" w:hAnsi="仿宋_GB2312" w:eastAsia="仿宋_GB2312" w:cs="仿宋_GB2312"/>
          <w:b w:val="0"/>
          <w:bCs w:val="0"/>
          <w:sz w:val="32"/>
          <w:szCs w:val="32"/>
          <w:lang w:eastAsia="zh-CN"/>
        </w:rPr>
        <w:t>至少应采用双回路供电</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为同一用户负荷供电的两回供电线路可以来自同一变电站的同一母线段。</w:t>
      </w:r>
    </w:p>
    <w:p>
      <w:pPr>
        <w:keepNext w:val="0"/>
        <w:keepLines w:val="0"/>
        <w:pageBreakBefore w:val="0"/>
        <w:wordWrap/>
        <w:topLinePunct w:val="0"/>
        <w:autoSpaceDE/>
        <w:autoSpaceDN/>
        <w:bidi w:val="0"/>
        <w:adjustRightInd/>
        <w:spacing w:line="600" w:lineRule="exact"/>
        <w:ind w:firstLine="622"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napToGrid w:val="0"/>
          <w:kern w:val="0"/>
          <w:sz w:val="32"/>
          <w:szCs w:val="32"/>
        </w:rPr>
        <w:t>(</w:t>
      </w:r>
      <w:r>
        <w:rPr>
          <w:rFonts w:hint="eastAsia" w:ascii="仿宋_GB2312" w:hAnsi="仿宋_GB2312" w:eastAsia="仿宋_GB2312" w:cs="仿宋_GB2312"/>
          <w:b w:val="0"/>
          <w:bCs w:val="0"/>
          <w:snapToGrid w:val="0"/>
          <w:kern w:val="0"/>
          <w:sz w:val="32"/>
          <w:szCs w:val="32"/>
          <w:lang w:eastAsia="zh-CN"/>
        </w:rPr>
        <w:t>三</w:t>
      </w:r>
      <w:r>
        <w:rPr>
          <w:rFonts w:hint="eastAsia" w:ascii="仿宋_GB2312" w:hAnsi="仿宋_GB2312" w:eastAsia="仿宋_GB2312" w:cs="仿宋_GB2312"/>
          <w:b w:val="0"/>
          <w:bCs w:val="0"/>
          <w:snapToGrid w:val="0"/>
          <w:kern w:val="0"/>
          <w:sz w:val="32"/>
          <w:szCs w:val="32"/>
        </w:rPr>
        <w:t xml:space="preserve">) </w:t>
      </w:r>
      <w:r>
        <w:rPr>
          <w:rFonts w:hint="eastAsia" w:ascii="仿宋_GB2312" w:hAnsi="仿宋_GB2312" w:eastAsia="仿宋_GB2312" w:cs="仿宋_GB2312"/>
          <w:b w:val="0"/>
          <w:bCs w:val="0"/>
          <w:sz w:val="32"/>
          <w:szCs w:val="32"/>
        </w:rPr>
        <w:t>临时性重要电力用户按照</w:t>
      </w:r>
      <w:r>
        <w:rPr>
          <w:rFonts w:hint="eastAsia" w:ascii="仿宋_GB2312" w:hAnsi="仿宋_GB2312" w:eastAsia="仿宋_GB2312" w:cs="仿宋_GB2312"/>
          <w:b w:val="0"/>
          <w:bCs w:val="0"/>
          <w:sz w:val="32"/>
          <w:szCs w:val="32"/>
          <w:lang w:eastAsia="zh-CN"/>
        </w:rPr>
        <w:t>用电</w:t>
      </w:r>
      <w:r>
        <w:rPr>
          <w:rFonts w:hint="eastAsia" w:ascii="仿宋_GB2312" w:hAnsi="仿宋_GB2312" w:eastAsia="仿宋_GB2312" w:cs="仿宋_GB2312"/>
          <w:b w:val="0"/>
          <w:bCs w:val="0"/>
          <w:sz w:val="32"/>
          <w:szCs w:val="32"/>
        </w:rPr>
        <w:t>负荷</w:t>
      </w:r>
      <w:r>
        <w:rPr>
          <w:rFonts w:hint="eastAsia" w:ascii="仿宋_GB2312" w:hAnsi="仿宋_GB2312" w:eastAsia="仿宋_GB2312" w:cs="仿宋_GB2312"/>
          <w:b w:val="0"/>
          <w:bCs w:val="0"/>
          <w:sz w:val="32"/>
          <w:szCs w:val="32"/>
          <w:lang w:eastAsia="zh-CN"/>
        </w:rPr>
        <w:t>的</w:t>
      </w:r>
      <w:r>
        <w:rPr>
          <w:rFonts w:hint="eastAsia" w:ascii="仿宋_GB2312" w:hAnsi="仿宋_GB2312" w:eastAsia="仿宋_GB2312" w:cs="仿宋_GB2312"/>
          <w:b w:val="0"/>
          <w:bCs w:val="0"/>
          <w:sz w:val="32"/>
          <w:szCs w:val="32"/>
        </w:rPr>
        <w:t>重要性，在条件允许情况下，可以通过临时</w:t>
      </w:r>
      <w:r>
        <w:rPr>
          <w:rFonts w:hint="eastAsia" w:ascii="仿宋_GB2312" w:hAnsi="仿宋_GB2312" w:eastAsia="仿宋_GB2312" w:cs="仿宋_GB2312"/>
          <w:b w:val="0"/>
          <w:bCs w:val="0"/>
          <w:sz w:val="32"/>
          <w:szCs w:val="32"/>
          <w:lang w:eastAsia="zh-CN"/>
        </w:rPr>
        <w:t>敷设线路或移动发电设备等方式满足</w:t>
      </w:r>
      <w:r>
        <w:rPr>
          <w:rFonts w:hint="eastAsia" w:ascii="仿宋_GB2312" w:hAnsi="仿宋_GB2312" w:eastAsia="仿宋_GB2312" w:cs="仿宋_GB2312"/>
          <w:b w:val="0"/>
          <w:bCs w:val="0"/>
          <w:sz w:val="32"/>
          <w:szCs w:val="32"/>
        </w:rPr>
        <w:t>双回路或两路以上电源供电条件。</w:t>
      </w:r>
    </w:p>
    <w:p>
      <w:pPr>
        <w:keepNext w:val="0"/>
        <w:keepLines w:val="0"/>
        <w:pageBreakBefore w:val="0"/>
        <w:wordWrap/>
        <w:topLinePunct w:val="0"/>
        <w:autoSpaceDE/>
        <w:autoSpaceDN/>
        <w:bidi w:val="0"/>
        <w:adjustRightInd/>
        <w:spacing w:line="600" w:lineRule="exact"/>
        <w:ind w:firstLine="622"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重要电力用户供电电源的切换时间和切换方式</w:t>
      </w:r>
      <w:r>
        <w:rPr>
          <w:rFonts w:hint="eastAsia" w:ascii="仿宋_GB2312" w:hAnsi="仿宋_GB2312" w:eastAsia="仿宋_GB2312" w:cs="仿宋_GB2312"/>
          <w:b w:val="0"/>
          <w:bCs w:val="0"/>
          <w:sz w:val="32"/>
          <w:szCs w:val="32"/>
          <w:lang w:eastAsia="zh-CN"/>
        </w:rPr>
        <w:t>应</w:t>
      </w:r>
      <w:r>
        <w:rPr>
          <w:rFonts w:hint="eastAsia" w:ascii="仿宋_GB2312" w:hAnsi="仿宋_GB2312" w:eastAsia="仿宋_GB2312" w:cs="仿宋_GB2312"/>
          <w:b w:val="0"/>
          <w:bCs w:val="0"/>
          <w:sz w:val="32"/>
          <w:szCs w:val="32"/>
        </w:rPr>
        <w:t>满足重要</w:t>
      </w:r>
      <w:r>
        <w:rPr>
          <w:rFonts w:hint="eastAsia" w:ascii="仿宋_GB2312" w:hAnsi="仿宋_GB2312" w:eastAsia="仿宋_GB2312" w:cs="仿宋_GB2312"/>
          <w:b w:val="0"/>
          <w:bCs w:val="0"/>
          <w:sz w:val="32"/>
          <w:szCs w:val="32"/>
          <w:lang w:eastAsia="zh-CN"/>
        </w:rPr>
        <w:t>电力</w:t>
      </w:r>
      <w:r>
        <w:rPr>
          <w:rFonts w:hint="eastAsia" w:ascii="仿宋_GB2312" w:hAnsi="仿宋_GB2312" w:eastAsia="仿宋_GB2312" w:cs="仿宋_GB2312"/>
          <w:b w:val="0"/>
          <w:bCs w:val="0"/>
          <w:sz w:val="32"/>
          <w:szCs w:val="32"/>
        </w:rPr>
        <w:t>用户保安负荷允许断电时间的要求。</w:t>
      </w:r>
      <w:r>
        <w:rPr>
          <w:rFonts w:hint="eastAsia" w:ascii="仿宋_GB2312" w:hAnsi="仿宋_GB2312" w:eastAsia="仿宋_GB2312" w:cs="仿宋_GB2312"/>
          <w:b w:val="0"/>
          <w:bCs w:val="0"/>
          <w:sz w:val="32"/>
          <w:szCs w:val="32"/>
          <w:lang w:eastAsia="zh-CN"/>
        </w:rPr>
        <w:t>切换时间不能满足保安负荷允许断电时间要求的，重要电力用户应自行采取技术措施解决。</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lang w:eastAsia="zh-CN"/>
        </w:rPr>
      </w:pPr>
      <w:r>
        <w:rPr>
          <w:rFonts w:hint="eastAsia" w:ascii="黑体" w:hAnsi="黑体" w:eastAsia="黑体" w:cs="黑体"/>
          <w:b w:val="0"/>
          <w:bCs w:val="0"/>
          <w:snapToGrid w:val="0"/>
          <w:color w:val="auto"/>
          <w:kern w:val="0"/>
          <w:sz w:val="32"/>
          <w:szCs w:val="32"/>
        </w:rPr>
        <w:t>第</w:t>
      </w:r>
      <w:r>
        <w:rPr>
          <w:rFonts w:hint="eastAsia" w:ascii="黑体" w:hAnsi="黑体" w:eastAsia="黑体" w:cs="黑体"/>
          <w:b w:val="0"/>
          <w:bCs w:val="0"/>
          <w:snapToGrid w:val="0"/>
          <w:color w:val="auto"/>
          <w:kern w:val="0"/>
          <w:sz w:val="32"/>
          <w:szCs w:val="32"/>
          <w:lang w:eastAsia="zh-CN"/>
        </w:rPr>
        <w:t>十</w:t>
      </w:r>
      <w:r>
        <w:rPr>
          <w:rFonts w:hint="eastAsia" w:ascii="黑体" w:hAnsi="黑体" w:eastAsia="黑体" w:cs="黑体"/>
          <w:b w:val="0"/>
          <w:bCs w:val="0"/>
          <w:snapToGrid w:val="0"/>
          <w:color w:val="auto"/>
          <w:kern w:val="0"/>
          <w:sz w:val="32"/>
          <w:szCs w:val="32"/>
        </w:rPr>
        <w:t>条</w:t>
      </w:r>
      <w:r>
        <w:rPr>
          <w:rFonts w:hint="eastAsia" w:ascii="仿宋_GB2312" w:hAnsi="仿宋_GB2312" w:eastAsia="仿宋_GB2312" w:cs="仿宋_GB2312"/>
          <w:b w:val="0"/>
          <w:bCs w:val="0"/>
          <w:snapToGrid w:val="0"/>
          <w:color w:val="auto"/>
          <w:kern w:val="0"/>
          <w:sz w:val="32"/>
          <w:szCs w:val="32"/>
          <w:lang w:val="en-US" w:eastAsia="zh-CN"/>
        </w:rPr>
        <w:t xml:space="preserve"> </w:t>
      </w:r>
      <w:r>
        <w:rPr>
          <w:rFonts w:hint="eastAsia" w:ascii="仿宋_GB2312" w:hAnsi="仿宋_GB2312" w:eastAsia="仿宋_GB2312" w:cs="仿宋_GB2312"/>
          <w:b w:val="0"/>
          <w:bCs w:val="0"/>
          <w:color w:val="auto"/>
          <w:sz w:val="32"/>
          <w:szCs w:val="32"/>
        </w:rPr>
        <w:t>重要电力用户应配置自备应急电源，</w:t>
      </w:r>
      <w:r>
        <w:rPr>
          <w:rFonts w:hint="eastAsia" w:ascii="仿宋_GB2312" w:hAnsi="仿宋_GB2312" w:eastAsia="仿宋_GB2312" w:cs="仿宋_GB2312"/>
          <w:b w:val="0"/>
          <w:bCs w:val="0"/>
          <w:color w:val="auto"/>
          <w:sz w:val="32"/>
          <w:szCs w:val="32"/>
          <w:lang w:eastAsia="zh-CN"/>
        </w:rPr>
        <w:t>并加强安全使用管理，重要电力用户的自备应急电源配置应符合以下要求：</w:t>
      </w:r>
    </w:p>
    <w:p>
      <w:pPr>
        <w:keepNext w:val="0"/>
        <w:keepLines w:val="0"/>
        <w:pageBreakBefore w:val="0"/>
        <w:numPr>
          <w:ilvl w:val="0"/>
          <w:numId w:val="2"/>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自备应急电源配置容量标准应达到保安负荷的120%，确保满足全部保安负荷正常启动和带载运行的要求。</w:t>
      </w:r>
    </w:p>
    <w:p>
      <w:pPr>
        <w:keepNext w:val="0"/>
        <w:keepLines w:val="0"/>
        <w:pageBreakBefore w:val="0"/>
        <w:numPr>
          <w:ilvl w:val="0"/>
          <w:numId w:val="2"/>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自备应急电源应当与供电电源同步建设、同步投运</w:t>
      </w:r>
      <w:r>
        <w:rPr>
          <w:rFonts w:hint="eastAsia" w:ascii="仿宋_GB2312" w:hAnsi="仿宋_GB2312" w:eastAsia="仿宋_GB2312" w:cs="仿宋_GB2312"/>
          <w:b w:val="0"/>
          <w:bCs w:val="0"/>
          <w:color w:val="auto"/>
          <w:sz w:val="32"/>
          <w:szCs w:val="32"/>
          <w:lang w:eastAsia="zh-CN"/>
        </w:rPr>
        <w:t>或设置专用应急母线，提升重要电力用户的应急能力。</w:t>
      </w:r>
    </w:p>
    <w:p>
      <w:pPr>
        <w:keepNext w:val="0"/>
        <w:keepLines w:val="0"/>
        <w:pageBreakBefore w:val="0"/>
        <w:numPr>
          <w:ilvl w:val="0"/>
          <w:numId w:val="2"/>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自备应急电源</w:t>
      </w:r>
      <w:r>
        <w:rPr>
          <w:rFonts w:hint="eastAsia" w:ascii="仿宋_GB2312" w:hAnsi="仿宋_GB2312" w:eastAsia="仿宋_GB2312" w:cs="仿宋_GB2312"/>
          <w:b w:val="0"/>
          <w:bCs w:val="0"/>
          <w:color w:val="auto"/>
          <w:sz w:val="32"/>
          <w:szCs w:val="32"/>
          <w:lang w:eastAsia="zh-CN"/>
        </w:rPr>
        <w:t>的配置应依据保安负荷的允许断电时间、容量、停电影响等负荷特性，综合考虑各类应急电源在启动时间、切换方式、容量大小、持续供电时间、电能质量、节能环保、适用场所等方面的技术性能，合理的选取自备应急</w:t>
      </w:r>
      <w:r>
        <w:rPr>
          <w:rFonts w:hint="eastAsia" w:ascii="仿宋_GB2312" w:hAnsi="仿宋_GB2312" w:eastAsia="仿宋_GB2312" w:cs="仿宋_GB2312"/>
          <w:b w:val="0"/>
          <w:bCs w:val="0"/>
          <w:color w:val="auto"/>
          <w:sz w:val="32"/>
          <w:szCs w:val="32"/>
          <w:lang w:val="en-US" w:eastAsia="zh-CN"/>
        </w:rPr>
        <w:t>电源。</w:t>
      </w:r>
    </w:p>
    <w:p>
      <w:pPr>
        <w:keepNext w:val="0"/>
        <w:keepLines w:val="0"/>
        <w:pageBreakBefore w:val="0"/>
        <w:numPr>
          <w:ilvl w:val="0"/>
          <w:numId w:val="2"/>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自备应急电源</w:t>
      </w:r>
      <w:r>
        <w:rPr>
          <w:rFonts w:hint="eastAsia" w:ascii="仿宋_GB2312" w:hAnsi="仿宋_GB2312" w:eastAsia="仿宋_GB2312" w:cs="仿宋_GB2312"/>
          <w:b w:val="0"/>
          <w:bCs w:val="0"/>
          <w:color w:val="auto"/>
          <w:sz w:val="32"/>
          <w:szCs w:val="32"/>
          <w:highlight w:val="none"/>
          <w:lang w:eastAsia="zh-CN"/>
        </w:rPr>
        <w:t>应符合</w:t>
      </w:r>
      <w:r>
        <w:rPr>
          <w:rFonts w:hint="eastAsia" w:ascii="仿宋_GB2312" w:hAnsi="仿宋_GB2312" w:eastAsia="仿宋_GB2312" w:cs="仿宋_GB2312"/>
          <w:b w:val="0"/>
          <w:bCs w:val="0"/>
          <w:color w:val="auto"/>
          <w:sz w:val="32"/>
          <w:szCs w:val="32"/>
          <w:highlight w:val="none"/>
        </w:rPr>
        <w:t>国家有关安全、消防、节能、环保等</w:t>
      </w:r>
      <w:r>
        <w:rPr>
          <w:rFonts w:hint="eastAsia" w:ascii="仿宋_GB2312" w:hAnsi="仿宋_GB2312" w:eastAsia="仿宋_GB2312" w:cs="仿宋_GB2312"/>
          <w:b w:val="0"/>
          <w:bCs w:val="0"/>
          <w:color w:val="auto"/>
          <w:sz w:val="32"/>
          <w:szCs w:val="32"/>
          <w:highlight w:val="none"/>
          <w:lang w:eastAsia="zh-CN"/>
        </w:rPr>
        <w:t>相关</w:t>
      </w:r>
      <w:r>
        <w:rPr>
          <w:rFonts w:hint="eastAsia" w:ascii="仿宋_GB2312" w:hAnsi="仿宋_GB2312" w:eastAsia="仿宋_GB2312" w:cs="仿宋_GB2312"/>
          <w:b w:val="0"/>
          <w:bCs w:val="0"/>
          <w:color w:val="auto"/>
          <w:sz w:val="32"/>
          <w:szCs w:val="32"/>
          <w:highlight w:val="none"/>
        </w:rPr>
        <w:t>技术标准</w:t>
      </w:r>
      <w:r>
        <w:rPr>
          <w:rFonts w:hint="eastAsia" w:ascii="仿宋_GB2312" w:hAnsi="仿宋_GB2312" w:eastAsia="仿宋_GB2312" w:cs="仿宋_GB2312"/>
          <w:b w:val="0"/>
          <w:bCs w:val="0"/>
          <w:color w:val="auto"/>
          <w:sz w:val="32"/>
          <w:szCs w:val="32"/>
          <w:highlight w:val="none"/>
          <w:lang w:eastAsia="zh-CN"/>
        </w:rPr>
        <w:t>的</w:t>
      </w:r>
      <w:r>
        <w:rPr>
          <w:rFonts w:hint="eastAsia" w:ascii="仿宋_GB2312" w:hAnsi="仿宋_GB2312" w:eastAsia="仿宋_GB2312" w:cs="仿宋_GB2312"/>
          <w:b w:val="0"/>
          <w:bCs w:val="0"/>
          <w:color w:val="auto"/>
          <w:sz w:val="32"/>
          <w:szCs w:val="32"/>
          <w:highlight w:val="none"/>
        </w:rPr>
        <w:t>要求。</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（五）</w:t>
      </w:r>
      <w:r>
        <w:rPr>
          <w:rFonts w:hint="eastAsia" w:ascii="仿宋_GB2312" w:hAnsi="仿宋_GB2312" w:eastAsia="仿宋_GB2312" w:cs="仿宋_GB2312"/>
          <w:b w:val="0"/>
          <w:bCs w:val="0"/>
          <w:color w:val="auto"/>
          <w:sz w:val="32"/>
          <w:szCs w:val="32"/>
        </w:rPr>
        <w:t>自备应急电源</w:t>
      </w:r>
      <w:r>
        <w:rPr>
          <w:rFonts w:hint="eastAsia" w:ascii="仿宋_GB2312" w:hAnsi="仿宋_GB2312" w:eastAsia="仿宋_GB2312" w:cs="仿宋_GB2312"/>
          <w:b w:val="0"/>
          <w:bCs w:val="0"/>
          <w:color w:val="auto"/>
          <w:sz w:val="32"/>
          <w:szCs w:val="32"/>
          <w:lang w:eastAsia="zh-CN"/>
        </w:rPr>
        <w:t>与电网电源之间应装设可靠的电气或机械闭锁装置</w:t>
      </w:r>
      <w:r>
        <w:rPr>
          <w:rFonts w:hint="eastAsia" w:ascii="仿宋_GB2312" w:hAnsi="仿宋_GB2312" w:eastAsia="仿宋_GB2312" w:cs="仿宋_GB2312"/>
          <w:b w:val="0"/>
          <w:bCs w:val="0"/>
          <w:color w:val="auto"/>
          <w:sz w:val="32"/>
          <w:szCs w:val="32"/>
        </w:rPr>
        <w:t>，防止向电网</w:t>
      </w:r>
      <w:r>
        <w:rPr>
          <w:rFonts w:hint="eastAsia" w:ascii="仿宋_GB2312" w:hAnsi="仿宋_GB2312" w:eastAsia="仿宋_GB2312" w:cs="仿宋_GB2312"/>
          <w:b w:val="0"/>
          <w:bCs w:val="0"/>
          <w:color w:val="auto"/>
          <w:sz w:val="32"/>
          <w:szCs w:val="32"/>
          <w:lang w:eastAsia="zh-CN"/>
        </w:rPr>
        <w:t>倒</w:t>
      </w:r>
      <w:r>
        <w:rPr>
          <w:rFonts w:hint="eastAsia" w:ascii="仿宋_GB2312" w:hAnsi="仿宋_GB2312" w:eastAsia="仿宋_GB2312" w:cs="仿宋_GB2312"/>
          <w:b w:val="0"/>
          <w:bCs w:val="0"/>
          <w:color w:val="auto"/>
          <w:sz w:val="32"/>
          <w:szCs w:val="32"/>
        </w:rPr>
        <w:t>送电</w:t>
      </w:r>
      <w:r>
        <w:rPr>
          <w:rFonts w:hint="eastAsia" w:ascii="仿宋_GB2312" w:hAnsi="仿宋_GB2312" w:eastAsia="仿宋_GB2312" w:cs="仿宋_GB2312"/>
          <w:b w:val="0"/>
          <w:bCs w:val="0"/>
          <w:color w:val="auto"/>
          <w:sz w:val="32"/>
          <w:szCs w:val="32"/>
          <w:lang w:eastAsia="zh-CN"/>
        </w:rPr>
        <w:t>。</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lang w:eastAsia="zh-CN"/>
        </w:rPr>
      </w:pPr>
      <w:r>
        <w:rPr>
          <w:rFonts w:hint="eastAsia" w:ascii="黑体" w:hAnsi="黑体" w:eastAsia="黑体" w:cs="黑体"/>
          <w:b w:val="0"/>
          <w:bCs w:val="0"/>
          <w:sz w:val="32"/>
          <w:szCs w:val="32"/>
          <w:lang w:eastAsia="zh-CN"/>
        </w:rPr>
        <w:t>第十一条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重要电力用户选用的自备应急电源类型有：</w:t>
      </w:r>
    </w:p>
    <w:p>
      <w:pPr>
        <w:keepNext w:val="0"/>
        <w:keepLines w:val="0"/>
        <w:pageBreakBefore w:val="0"/>
        <w:numPr>
          <w:ilvl w:val="0"/>
          <w:numId w:val="3"/>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自备电厂；</w:t>
      </w:r>
    </w:p>
    <w:p>
      <w:pPr>
        <w:keepNext w:val="0"/>
        <w:keepLines w:val="0"/>
        <w:pageBreakBefore w:val="0"/>
        <w:numPr>
          <w:ilvl w:val="0"/>
          <w:numId w:val="3"/>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发动机驱动发电机组，包括</w:t>
      </w:r>
      <w:r>
        <w:rPr>
          <w:rFonts w:hint="eastAsia" w:ascii="仿宋_GB2312" w:hAnsi="仿宋_GB2312" w:eastAsia="仿宋_GB2312" w:cs="仿宋_GB2312"/>
          <w:b w:val="0"/>
          <w:bCs w:val="0"/>
          <w:sz w:val="32"/>
          <w:szCs w:val="32"/>
          <w:lang w:val="en-US" w:eastAsia="zh-CN"/>
        </w:rPr>
        <w:t>柴油发动机发电机组、汽油发动机发电机组、燃气发动机发电机组；</w:t>
      </w:r>
    </w:p>
    <w:p>
      <w:pPr>
        <w:keepNext w:val="0"/>
        <w:keepLines w:val="0"/>
        <w:pageBreakBefore w:val="0"/>
        <w:numPr>
          <w:ilvl w:val="0"/>
          <w:numId w:val="3"/>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静态储能装置，包括UPS、EPS、蓄电池、超级电容；</w:t>
      </w:r>
    </w:p>
    <w:p>
      <w:pPr>
        <w:keepNext w:val="0"/>
        <w:keepLines w:val="0"/>
        <w:pageBreakBefore w:val="0"/>
        <w:numPr>
          <w:ilvl w:val="0"/>
          <w:numId w:val="3"/>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动态储能装置（飞轮储能装置）；</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（五）移动发电设备，包括装有电源装置的专用车辆、小型移动式发电机；</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（六）其他新型电源装置。</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第十二条</w:t>
      </w:r>
      <w:r>
        <w:rPr>
          <w:rFonts w:hint="eastAsia" w:ascii="仿宋_GB2312" w:hAnsi="仿宋_GB2312" w:eastAsia="仿宋_GB2312" w:cs="仿宋_GB2312"/>
          <w:b w:val="0"/>
          <w:bCs w:val="0"/>
          <w:snapToGrid w:val="0"/>
          <w:color w:val="auto"/>
          <w:kern w:val="0"/>
          <w:sz w:val="32"/>
          <w:szCs w:val="32"/>
          <w:lang w:val="en-US" w:eastAsia="zh-CN"/>
        </w:rPr>
        <w:t xml:space="preserve"> </w:t>
      </w:r>
      <w:r>
        <w:rPr>
          <w:rFonts w:hint="eastAsia" w:ascii="仿宋_GB2312" w:hAnsi="仿宋_GB2312" w:eastAsia="仿宋_GB2312" w:cs="仿宋_GB2312"/>
          <w:b w:val="0"/>
          <w:bCs w:val="0"/>
          <w:snapToGrid w:val="0"/>
          <w:color w:val="auto"/>
          <w:kern w:val="0"/>
          <w:sz w:val="32"/>
          <w:szCs w:val="32"/>
          <w:lang w:eastAsia="zh-CN"/>
        </w:rPr>
        <w:t>重要电力用户新装自备应急电源、拆装自备应急电源、更换接线方式、拆除或者移动闭锁装置，要向供电企业办理报备手续，并修订供用电合同。</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snapToGrid w:val="0"/>
          <w:color w:val="auto"/>
          <w:kern w:val="0"/>
          <w:sz w:val="32"/>
          <w:szCs w:val="32"/>
          <w:lang w:eastAsia="zh-CN"/>
        </w:rPr>
      </w:pPr>
      <w:r>
        <w:rPr>
          <w:rFonts w:hint="eastAsia" w:ascii="仿宋_GB2312" w:hAnsi="仿宋_GB2312" w:eastAsia="仿宋_GB2312" w:cs="仿宋_GB2312"/>
          <w:b w:val="0"/>
          <w:bCs w:val="0"/>
          <w:snapToGrid w:val="0"/>
          <w:color w:val="auto"/>
          <w:kern w:val="0"/>
          <w:sz w:val="32"/>
          <w:szCs w:val="32"/>
          <w:lang w:eastAsia="zh-CN"/>
        </w:rPr>
        <w:t>自备应急电源的建设、运行、维护和管理由重要电力用户自行负责。</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snapToGrid w:val="0"/>
          <w:color w:val="auto"/>
          <w:kern w:val="0"/>
          <w:sz w:val="32"/>
          <w:szCs w:val="32"/>
          <w:lang w:val="en-US" w:eastAsia="zh-CN"/>
        </w:rPr>
        <w:t xml:space="preserve">第十三条 </w:t>
      </w:r>
      <w:r>
        <w:rPr>
          <w:rFonts w:hint="eastAsia" w:ascii="仿宋_GB2312" w:hAnsi="仿宋_GB2312" w:eastAsia="仿宋_GB2312" w:cs="仿宋_GB2312"/>
          <w:b w:val="0"/>
          <w:bCs w:val="0"/>
          <w:color w:val="auto"/>
          <w:sz w:val="32"/>
          <w:szCs w:val="32"/>
          <w:highlight w:val="none"/>
        </w:rPr>
        <w:t>重要电力用户</w:t>
      </w:r>
      <w:r>
        <w:rPr>
          <w:rFonts w:hint="eastAsia" w:ascii="仿宋_GB2312" w:hAnsi="仿宋_GB2312" w:eastAsia="仿宋_GB2312" w:cs="仿宋_GB2312"/>
          <w:b w:val="0"/>
          <w:bCs w:val="0"/>
          <w:color w:val="auto"/>
          <w:sz w:val="32"/>
          <w:szCs w:val="32"/>
          <w:highlight w:val="none"/>
          <w:lang w:eastAsia="zh-CN"/>
        </w:rPr>
        <w:t>应当</w:t>
      </w:r>
      <w:r>
        <w:rPr>
          <w:rFonts w:hint="eastAsia" w:ascii="仿宋_GB2312" w:hAnsi="仿宋_GB2312" w:eastAsia="仿宋_GB2312" w:cs="仿宋_GB2312"/>
          <w:b w:val="0"/>
          <w:bCs w:val="0"/>
          <w:color w:val="auto"/>
          <w:sz w:val="32"/>
          <w:szCs w:val="32"/>
          <w:highlight w:val="none"/>
        </w:rPr>
        <w:t>按照国家和电力行业有关规程、规范和标准的要求，对自备应急电源定期进行安全检查、预防性试验、启机试验和切换装置的切换试验。</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snapToGrid w:val="0"/>
          <w:color w:val="auto"/>
          <w:kern w:val="0"/>
          <w:sz w:val="32"/>
          <w:szCs w:val="32"/>
          <w:lang w:val="en-US" w:eastAsia="zh-CN"/>
        </w:rPr>
        <w:t>第十四条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重要电力用户</w:t>
      </w:r>
      <w:r>
        <w:rPr>
          <w:rFonts w:hint="eastAsia" w:ascii="仿宋_GB2312" w:hAnsi="仿宋_GB2312" w:eastAsia="仿宋_GB2312" w:cs="仿宋_GB2312"/>
          <w:b w:val="0"/>
          <w:bCs w:val="0"/>
          <w:color w:val="auto"/>
          <w:sz w:val="32"/>
          <w:szCs w:val="32"/>
          <w:highlight w:val="none"/>
          <w:lang w:eastAsia="zh-CN"/>
        </w:rPr>
        <w:t>应</w:t>
      </w:r>
      <w:r>
        <w:rPr>
          <w:rFonts w:hint="eastAsia" w:ascii="仿宋_GB2312" w:hAnsi="仿宋_GB2312" w:eastAsia="仿宋_GB2312" w:cs="仿宋_GB2312"/>
          <w:b w:val="0"/>
          <w:bCs w:val="0"/>
          <w:color w:val="auto"/>
          <w:sz w:val="32"/>
          <w:szCs w:val="32"/>
          <w:highlight w:val="none"/>
        </w:rPr>
        <w:t>制订</w:t>
      </w:r>
      <w:r>
        <w:rPr>
          <w:rFonts w:hint="eastAsia" w:ascii="仿宋_GB2312" w:hAnsi="仿宋_GB2312" w:eastAsia="仿宋_GB2312" w:cs="仿宋_GB2312"/>
          <w:b w:val="0"/>
          <w:bCs w:val="0"/>
          <w:color w:val="auto"/>
          <w:sz w:val="32"/>
          <w:szCs w:val="32"/>
          <w:highlight w:val="none"/>
          <w:lang w:eastAsia="zh-CN"/>
        </w:rPr>
        <w:t>供电</w:t>
      </w:r>
      <w:r>
        <w:rPr>
          <w:rFonts w:hint="eastAsia" w:ascii="仿宋_GB2312" w:hAnsi="仿宋_GB2312" w:eastAsia="仿宋_GB2312" w:cs="仿宋_GB2312"/>
          <w:b w:val="0"/>
          <w:bCs w:val="0"/>
          <w:color w:val="auto"/>
          <w:sz w:val="32"/>
          <w:szCs w:val="32"/>
          <w:highlight w:val="none"/>
        </w:rPr>
        <w:t>电源</w:t>
      </w:r>
      <w:r>
        <w:rPr>
          <w:rFonts w:hint="eastAsia" w:ascii="仿宋_GB2312" w:hAnsi="仿宋_GB2312" w:eastAsia="仿宋_GB2312" w:cs="仿宋_GB2312"/>
          <w:b w:val="0"/>
          <w:bCs w:val="0"/>
          <w:color w:val="auto"/>
          <w:sz w:val="32"/>
          <w:szCs w:val="32"/>
          <w:highlight w:val="none"/>
          <w:lang w:eastAsia="zh-CN"/>
        </w:rPr>
        <w:t>切换、自备应急电源</w:t>
      </w:r>
      <w:r>
        <w:rPr>
          <w:rFonts w:hint="eastAsia" w:ascii="仿宋_GB2312" w:hAnsi="仿宋_GB2312" w:eastAsia="仿宋_GB2312" w:cs="仿宋_GB2312"/>
          <w:b w:val="0"/>
          <w:bCs w:val="0"/>
          <w:color w:val="auto"/>
          <w:sz w:val="32"/>
          <w:szCs w:val="32"/>
          <w:highlight w:val="none"/>
        </w:rPr>
        <w:t>运行操作、维护管理的规程制度和应急处置预案并定期进行应急演练</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每年至少</w:t>
      </w:r>
      <w:r>
        <w:rPr>
          <w:rFonts w:hint="eastAsia" w:ascii="仿宋_GB2312" w:hAnsi="仿宋_GB2312" w:eastAsia="仿宋_GB2312" w:cs="仿宋_GB2312"/>
          <w:b w:val="0"/>
          <w:bCs w:val="0"/>
          <w:color w:val="auto"/>
          <w:sz w:val="32"/>
          <w:szCs w:val="32"/>
          <w:highlight w:val="none"/>
          <w:lang w:eastAsia="zh-CN"/>
        </w:rPr>
        <w:t>开展</w:t>
      </w:r>
      <w:r>
        <w:rPr>
          <w:rFonts w:hint="eastAsia" w:ascii="仿宋_GB2312" w:hAnsi="仿宋_GB2312" w:eastAsia="仿宋_GB2312" w:cs="仿宋_GB2312"/>
          <w:b w:val="0"/>
          <w:bCs w:val="0"/>
          <w:color w:val="auto"/>
          <w:sz w:val="32"/>
          <w:szCs w:val="32"/>
          <w:highlight w:val="none"/>
        </w:rPr>
        <w:t>一次。</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第十五条</w:t>
      </w:r>
      <w:r>
        <w:rPr>
          <w:rFonts w:hint="eastAsia" w:ascii="黑体" w:hAnsi="黑体" w:eastAsia="黑体" w:cs="黑体"/>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重要电力用户的自备应急电源在使用过程中应杜绝和防止以下情况发生：</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（一）</w:t>
      </w:r>
      <w:r>
        <w:rPr>
          <w:rFonts w:hint="eastAsia" w:ascii="仿宋_GB2312" w:hAnsi="仿宋_GB2312" w:eastAsia="仿宋_GB2312" w:cs="仿宋_GB2312"/>
          <w:b w:val="0"/>
          <w:bCs w:val="0"/>
          <w:color w:val="auto"/>
          <w:sz w:val="32"/>
          <w:szCs w:val="32"/>
          <w:highlight w:val="none"/>
        </w:rPr>
        <w:t>自行变更自备应急电源接线方式；</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（二）</w:t>
      </w:r>
      <w:r>
        <w:rPr>
          <w:rFonts w:hint="eastAsia" w:ascii="仿宋_GB2312" w:hAnsi="仿宋_GB2312" w:eastAsia="仿宋_GB2312" w:cs="仿宋_GB2312"/>
          <w:b w:val="0"/>
          <w:bCs w:val="0"/>
          <w:color w:val="auto"/>
          <w:sz w:val="32"/>
          <w:szCs w:val="32"/>
          <w:highlight w:val="none"/>
        </w:rPr>
        <w:t>自行拆除自备应急电源的闭锁装置或者使其失效；</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（三）</w:t>
      </w:r>
      <w:r>
        <w:rPr>
          <w:rFonts w:hint="eastAsia" w:ascii="仿宋_GB2312" w:hAnsi="仿宋_GB2312" w:eastAsia="仿宋_GB2312" w:cs="仿宋_GB2312"/>
          <w:b w:val="0"/>
          <w:bCs w:val="0"/>
          <w:color w:val="auto"/>
          <w:sz w:val="32"/>
          <w:szCs w:val="32"/>
          <w:highlight w:val="none"/>
        </w:rPr>
        <w:t>自备应急电源发生故障后长期不能修复并影响正常运行；</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（四）</w:t>
      </w:r>
      <w:r>
        <w:rPr>
          <w:rFonts w:hint="eastAsia" w:ascii="仿宋_GB2312" w:hAnsi="仿宋_GB2312" w:eastAsia="仿宋_GB2312" w:cs="仿宋_GB2312"/>
          <w:b w:val="0"/>
          <w:bCs w:val="0"/>
          <w:color w:val="auto"/>
          <w:sz w:val="32"/>
          <w:szCs w:val="32"/>
          <w:highlight w:val="none"/>
        </w:rPr>
        <w:t>擅自将自备应急电源引入，转供其他用户；</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（五）</w:t>
      </w:r>
      <w:r>
        <w:rPr>
          <w:rFonts w:hint="eastAsia" w:ascii="仿宋_GB2312" w:hAnsi="仿宋_GB2312" w:eastAsia="仿宋_GB2312" w:cs="仿宋_GB2312"/>
          <w:b w:val="0"/>
          <w:bCs w:val="0"/>
          <w:color w:val="auto"/>
          <w:sz w:val="32"/>
          <w:szCs w:val="32"/>
          <w:highlight w:val="none"/>
        </w:rPr>
        <w:t>其他可能发生自备应急电源向电网倒送电的</w:t>
      </w:r>
      <w:r>
        <w:rPr>
          <w:rFonts w:hint="eastAsia" w:ascii="仿宋_GB2312" w:hAnsi="仿宋_GB2312" w:eastAsia="仿宋_GB2312" w:cs="仿宋_GB2312"/>
          <w:b w:val="0"/>
          <w:bCs w:val="0"/>
          <w:color w:val="auto"/>
          <w:sz w:val="32"/>
          <w:szCs w:val="32"/>
          <w:highlight w:val="none"/>
          <w:lang w:eastAsia="zh-CN"/>
        </w:rPr>
        <w:t>情况</w:t>
      </w:r>
      <w:r>
        <w:rPr>
          <w:rFonts w:hint="eastAsia" w:ascii="仿宋_GB2312" w:hAnsi="仿宋_GB2312" w:eastAsia="仿宋_GB2312" w:cs="仿宋_GB2312"/>
          <w:b w:val="0"/>
          <w:bCs w:val="0"/>
          <w:color w:val="auto"/>
          <w:sz w:val="32"/>
          <w:szCs w:val="32"/>
          <w:highlight w:val="none"/>
        </w:rPr>
        <w:t>。</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eastAsia="zh-CN"/>
        </w:rPr>
        <w:t>第十六条</w:t>
      </w:r>
      <w:r>
        <w:rPr>
          <w:rFonts w:hint="eastAsia" w:ascii="仿宋_GB2312" w:hAnsi="仿宋_GB2312" w:eastAsia="仿宋_GB2312" w:cs="仿宋_GB2312"/>
          <w:b w:val="0"/>
          <w:bCs w:val="0"/>
          <w:color w:val="auto"/>
          <w:sz w:val="32"/>
          <w:szCs w:val="32"/>
          <w:highlight w:val="none"/>
          <w:lang w:val="en-US" w:eastAsia="zh-CN"/>
        </w:rPr>
        <w:t xml:space="preserve"> 重要电力用户应具备外部应急电源接入条件，有特殊供电需求及临时重要电力用户，应配置外部应急电源接入装置。</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第十七条</w:t>
      </w:r>
      <w:r>
        <w:rPr>
          <w:rFonts w:hint="eastAsia" w:ascii="仿宋_GB2312" w:hAnsi="仿宋_GB2312" w:eastAsia="仿宋_GB2312" w:cs="仿宋_GB2312"/>
          <w:b w:val="0"/>
          <w:bCs w:val="0"/>
          <w:color w:val="auto"/>
          <w:sz w:val="32"/>
          <w:szCs w:val="32"/>
          <w:highlight w:val="none"/>
          <w:lang w:val="en-US" w:eastAsia="zh-CN"/>
        </w:rPr>
        <w:t xml:space="preserve"> 重要电力用户应根据生产运行特点和电力负荷特性，合理制定非电性质的安全措施。</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第十八条 </w:t>
      </w:r>
      <w:r>
        <w:rPr>
          <w:rFonts w:hint="eastAsia" w:ascii="仿宋_GB2312" w:hAnsi="仿宋_GB2312" w:eastAsia="仿宋_GB2312" w:cs="仿宋_GB2312"/>
          <w:b w:val="0"/>
          <w:bCs w:val="0"/>
          <w:color w:val="auto"/>
          <w:sz w:val="32"/>
          <w:szCs w:val="32"/>
          <w:highlight w:val="none"/>
          <w:lang w:val="en-US" w:eastAsia="zh-CN"/>
        </w:rPr>
        <w:t>临时性重要电力用户可以通过租用应急发电车（机）等方式配置自备应急电源。</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第十九条</w:t>
      </w:r>
      <w:r>
        <w:rPr>
          <w:rFonts w:hint="eastAsia" w:ascii="仿宋_GB2312" w:hAnsi="仿宋_GB2312" w:eastAsia="仿宋_GB2312" w:cs="仿宋_GB2312"/>
          <w:b w:val="0"/>
          <w:bCs w:val="0"/>
          <w:color w:val="auto"/>
          <w:sz w:val="32"/>
          <w:szCs w:val="32"/>
          <w:highlight w:val="none"/>
          <w:lang w:val="en-US" w:eastAsia="zh-CN"/>
        </w:rPr>
        <w:t xml:space="preserve"> 供电企业应当掌握重要电力用户自备应急电源的配置和使用情况，建立基础档案数据库并指导重要电力用户排查治理安全用电隐患，安全使用自备应急电源。</w:t>
      </w:r>
    </w:p>
    <w:p>
      <w:pPr>
        <w:keepNext w:val="0"/>
        <w:keepLines w:val="0"/>
        <w:pageBreakBefore w:val="0"/>
        <w:numPr>
          <w:ilvl w:val="0"/>
          <w:numId w:val="0"/>
        </w:numPr>
        <w:wordWrap/>
        <w:topLinePunct w:val="0"/>
        <w:autoSpaceDE/>
        <w:autoSpaceDN/>
        <w:bidi w:val="0"/>
        <w:adjustRightInd/>
        <w:snapToGrid w:val="0"/>
        <w:spacing w:line="600" w:lineRule="exact"/>
        <w:ind w:left="0" w:leftChars="0" w:firstLine="815" w:firstLineChars="262"/>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供电企业应按照重要电力用户等级督促用户重新完善供电电源、自备应急电源配置及运行管理要求。重要电力用户电源配置和自备应急电源配置不满足要求或者存在较大安全隐患的，供电企业应向所在县（市）区电力主管部门、行业安全生产主管部门报告，由相关部门进行依法查处。</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第二十条 </w:t>
      </w:r>
      <w:r>
        <w:rPr>
          <w:rFonts w:hint="eastAsia" w:ascii="仿宋_GB2312" w:hAnsi="仿宋_GB2312" w:eastAsia="仿宋_GB2312" w:cs="仿宋_GB2312"/>
          <w:b w:val="0"/>
          <w:bCs w:val="0"/>
          <w:snapToGrid w:val="0"/>
          <w:kern w:val="0"/>
          <w:sz w:val="32"/>
          <w:szCs w:val="32"/>
          <w:lang w:eastAsia="zh-CN"/>
        </w:rPr>
        <w:t>各级供电企业在当地电力主管部门的指导下，负责重要电力用户名单管理、隐患排查、风险预警、应急救援、供电保障等供用电安全管理相关工作，提供必要的技术指导服务。</w:t>
      </w:r>
    </w:p>
    <w:p>
      <w:pPr>
        <w:keepNext w:val="0"/>
        <w:keepLines w:val="0"/>
        <w:pageBreakBefore w:val="0"/>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snapToGrid w:val="0"/>
          <w:kern w:val="0"/>
          <w:sz w:val="32"/>
          <w:szCs w:val="32"/>
          <w:lang w:val="en-US" w:eastAsia="zh-CN"/>
        </w:rPr>
      </w:pPr>
      <w:r>
        <w:rPr>
          <w:rFonts w:hint="eastAsia" w:ascii="黑体" w:hAnsi="黑体" w:eastAsia="黑体" w:cs="黑体"/>
          <w:b w:val="0"/>
          <w:bCs w:val="0"/>
          <w:color w:val="auto"/>
          <w:sz w:val="32"/>
          <w:szCs w:val="32"/>
          <w:highlight w:val="none"/>
          <w:lang w:val="en-US" w:eastAsia="zh-CN"/>
        </w:rPr>
        <w:t>第二十一条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snapToGrid w:val="0"/>
          <w:kern w:val="0"/>
          <w:sz w:val="32"/>
          <w:szCs w:val="32"/>
          <w:lang w:val="en-US" w:eastAsia="zh-CN"/>
        </w:rPr>
        <w:t>重要电力用户用电安全管理坚持安全发展、改革创新、依法监管、源头防范、系统治理的原则。</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第二十二条</w:t>
      </w:r>
      <w:r>
        <w:rPr>
          <w:rFonts w:hint="eastAsia" w:ascii="仿宋_GB2312" w:hAnsi="仿宋_GB2312" w:eastAsia="仿宋_GB2312" w:cs="仿宋_GB2312"/>
          <w:b w:val="0"/>
          <w:bCs w:val="0"/>
          <w:color w:val="auto"/>
          <w:sz w:val="32"/>
          <w:szCs w:val="32"/>
          <w:highlight w:val="none"/>
          <w:lang w:val="en-US" w:eastAsia="zh-CN"/>
        </w:rPr>
        <w:t xml:space="preserve"> 重要电力用户应按国家有关法律法规、规范标准及电力行业相关规程、规范和标准要求，落实用电安全主体责任，切实履行下列职责：</w:t>
      </w:r>
    </w:p>
    <w:p>
      <w:pPr>
        <w:keepNext w:val="0"/>
        <w:keepLines w:val="0"/>
        <w:pageBreakBefore w:val="0"/>
        <w:numPr>
          <w:ilvl w:val="0"/>
          <w:numId w:val="4"/>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重要电力用户应确保供电电源及自备应急电源配置满足本办法规定要求，并根据国家、行业有关规定，结合本单位实际情况，建立健全电气设备运行管理制度，严格执行安全运行的相关规程、规范。按规定配置的电气运行及作业人员，应当持有安全生产监督管理部门颁发的特种作业操作证（电工），或能源监管部门颁发的电工进网作业许可证，持证上岗。</w:t>
      </w:r>
    </w:p>
    <w:p>
      <w:pPr>
        <w:keepNext w:val="0"/>
        <w:keepLines w:val="0"/>
        <w:pageBreakBefore w:val="0"/>
        <w:numPr>
          <w:ilvl w:val="0"/>
          <w:numId w:val="4"/>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重要电力用户的变电、配电设施和用电设备配置应当符合国家、行业标准。重要电力用户的一、二级负荷设备及电源接线方发生变化，应及时通知供电企业。</w:t>
      </w:r>
    </w:p>
    <w:p>
      <w:pPr>
        <w:keepNext w:val="0"/>
        <w:keepLines w:val="0"/>
        <w:pageBreakBefore w:val="0"/>
        <w:numPr>
          <w:ilvl w:val="0"/>
          <w:numId w:val="4"/>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重要电力用户在供电企业发布电网风险预警通知后，应根据生产运行实际和用电负荷特性，做好调试启动自备应急电源准备并合理实施停产、转产等应急保安措施。</w:t>
      </w:r>
    </w:p>
    <w:p>
      <w:pPr>
        <w:keepNext w:val="0"/>
        <w:keepLines w:val="0"/>
        <w:pageBreakBefore w:val="0"/>
        <w:numPr>
          <w:ilvl w:val="0"/>
          <w:numId w:val="4"/>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重要电力用户应按照国家、行业有关标准中预防性试验及检修周期要求，自行委托持有相应许可类别、许可等级承装（修、试）电力设施许可证的企业，定期对电气设备进行检修试验，及时消除安全隐患。超出试验合格周期的备用设备投入运行前应进行预防性试验。</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第二十三条 </w:t>
      </w:r>
      <w:r>
        <w:rPr>
          <w:rFonts w:hint="eastAsia" w:ascii="仿宋_GB2312" w:hAnsi="仿宋_GB2312" w:eastAsia="仿宋_GB2312" w:cs="仿宋_GB2312"/>
          <w:b w:val="0"/>
          <w:bCs w:val="0"/>
          <w:color w:val="auto"/>
          <w:sz w:val="32"/>
          <w:szCs w:val="32"/>
          <w:highlight w:val="none"/>
          <w:lang w:val="en-US" w:eastAsia="zh-CN"/>
        </w:rPr>
        <w:t>供电企业应指导重要电力用户加强内部电力设备的安全管理，督促重要用户按照本办法有关规定要求，配置必要的应急电源，满足电网事故条件下保安负荷的用电需求，防止电网供电中断引发事故和次生灾害，同时履行下列职责：</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供电企业应加强涉及重要用户的输、变、配电力设施的运行维护，及时消除供电隐患，优化电网运行方式，保障重要用户供电安全。在执行有序用电、电网事故拉闸限电期间，要优先保障重要电力用户的电力供应。</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（二）供电企业在电网运行方式发生较大变化、可能影响重要电力用户用电安全时，应当事先书面告知重要电力用户并指导其采取有效预防措施，避免事故发生。</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供电企业应结合重要电力用户供用电实际，制定完善应急预案和重要电力用户现场处置方案，组织开展专项应急演练和应急评估，做好应对各类自然灾害、重要电力设施设备损毁、供电故障等应急处置工作。当发生突发应急情况时，应当根据应急处置要求，快速抢修和优先恢复重要电力用户的供电并及时告知相关信息。</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（四）根据我市电力主管部门批准确定的重要电力用</w:t>
      </w:r>
      <w:r>
        <w:rPr>
          <w:rFonts w:hint="eastAsia" w:ascii="仿宋_GB2312" w:hAnsi="仿宋_GB2312" w:eastAsia="仿宋_GB2312" w:cs="仿宋_GB2312"/>
          <w:b w:val="0"/>
          <w:bCs w:val="0"/>
          <w:color w:val="auto"/>
          <w:sz w:val="32"/>
          <w:szCs w:val="32"/>
          <w:highlight w:val="none"/>
          <w:lang w:val="en-US" w:eastAsia="zh-CN"/>
        </w:rPr>
        <w:t>户名单，供电企业应当有针对性的对全市重要电力用户进行分级管理，定期为重要电力用户提供安全用电服务，督促指导重要电力用户编制反事故应急预案，同时将用电安全隐患等有关问题，及时向所在县（市）区电力主管部门报告。</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lang w:val="en-US" w:eastAsia="zh-CN"/>
        </w:rPr>
        <w:t xml:space="preserve"> 第二十四条</w:t>
      </w:r>
      <w:r>
        <w:rPr>
          <w:rFonts w:hint="eastAsia" w:ascii="仿宋_GB2312" w:hAnsi="仿宋_GB2312" w:eastAsia="仿宋_GB2312" w:cs="仿宋_GB2312"/>
          <w:b w:val="0"/>
          <w:bCs w:val="0"/>
          <w:color w:val="auto"/>
          <w:sz w:val="32"/>
          <w:szCs w:val="32"/>
          <w:highlight w:val="none"/>
          <w:lang w:val="en-US" w:eastAsia="zh-CN"/>
        </w:rPr>
        <w:t xml:space="preserve"> 供电企业应定期组织开展重要电力用户用电安全隐患排查，通过出具用电检查结果通知书将隐患问题书面反馈给用户，督促用户及时进行整改并为用户整改提供技术指导。重要电力用户应落实安全用电主体责任，对于能够立即整改的，应执行立查立改；无法立即整改的，应制定整改方案，明确整改内容和时限并报送供电企业，供电企业定期对用户整改情况进行复查，拒不整改或整改执行不及时不彻底的，由供电企业定期将相关情况报告所在县（市）区电力主管部门、行业安全生产主管部门，由各相关部门依法依规进行查处。</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lang w:val="en-US" w:eastAsia="zh-CN"/>
        </w:rPr>
        <w:t xml:space="preserve">第二十五条 </w:t>
      </w:r>
      <w:r>
        <w:rPr>
          <w:rFonts w:hint="eastAsia" w:ascii="仿宋_GB2312" w:hAnsi="仿宋_GB2312" w:eastAsia="仿宋_GB2312" w:cs="仿宋_GB2312"/>
          <w:b w:val="0"/>
          <w:bCs w:val="0"/>
          <w:color w:val="auto"/>
          <w:sz w:val="32"/>
          <w:szCs w:val="32"/>
          <w:highlight w:val="none"/>
          <w:lang w:val="en-US" w:eastAsia="zh-CN"/>
        </w:rPr>
        <w:t>重要电力用户应严格执行国家、行业关于电力安全运行的相关规程、规范，妥善保存并及时更新内部供配电系统的文档、图纸等资料并保证资料信息与现场实际情况相一致。供电企业要求重要电力用户提供相关资料的，用户应当予以配合，确保资料的真实性、完整性。供电企业对用户提供的资料应当予以保密。</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第二十六条 </w:t>
      </w:r>
      <w:r>
        <w:rPr>
          <w:rFonts w:hint="eastAsia" w:ascii="仿宋_GB2312" w:hAnsi="仿宋_GB2312" w:eastAsia="仿宋_GB2312" w:cs="仿宋_GB2312"/>
          <w:b w:val="0"/>
          <w:bCs w:val="0"/>
          <w:color w:val="auto"/>
          <w:sz w:val="32"/>
          <w:szCs w:val="32"/>
          <w:highlight w:val="none"/>
          <w:lang w:val="en-US" w:eastAsia="zh-CN"/>
        </w:rPr>
        <w:t>供电企业和重要电力用户违反本办法造成安全事故的，应按照国家相关法律、法规、规章的规定追究责任。</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第二十七条 </w:t>
      </w:r>
      <w:r>
        <w:rPr>
          <w:rFonts w:hint="eastAsia" w:ascii="仿宋_GB2312" w:hAnsi="仿宋_GB2312" w:eastAsia="仿宋_GB2312" w:cs="仿宋_GB2312"/>
          <w:b w:val="0"/>
          <w:bCs w:val="0"/>
          <w:color w:val="auto"/>
          <w:sz w:val="32"/>
          <w:szCs w:val="32"/>
          <w:highlight w:val="none"/>
          <w:lang w:val="en-US" w:eastAsia="zh-CN"/>
        </w:rPr>
        <w:t>本办法所称保安负荷，是指用于保障用电场所人身与财产安全所需的电力负荷，断电后会造成下列后果之一：</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 xml:space="preserve">    （一）直接引发人身伤亡的；</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 xml:space="preserve">    （二）使有毒、有害物溢出，造成环境大面积污染的；</w:t>
      </w:r>
    </w:p>
    <w:p>
      <w:pPr>
        <w:keepNext w:val="0"/>
        <w:keepLines w:val="0"/>
        <w:pageBreakBefore w:val="0"/>
        <w:numPr>
          <w:ilvl w:val="0"/>
          <w:numId w:val="1"/>
        </w:numPr>
        <w:wordWrap/>
        <w:topLinePunct w:val="0"/>
        <w:autoSpaceDE/>
        <w:autoSpaceDN/>
        <w:bidi w:val="0"/>
        <w:adjustRightInd/>
        <w:snapToGrid w:val="0"/>
        <w:spacing w:line="600" w:lineRule="exact"/>
        <w:ind w:left="0" w:leftChars="0"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将引起爆炸或火灾的；</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 xml:space="preserve">    （四）将引起较大范围社会秩序混乱或在政治上产生严重影</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响的；</w:t>
      </w:r>
      <w:r>
        <w:rPr>
          <w:rFonts w:hint="eastAsia" w:ascii="仿宋_GB2312" w:hAnsi="仿宋_GB2312" w:eastAsia="仿宋_GB2312" w:cs="仿宋_GB2312"/>
          <w:b w:val="0"/>
          <w:bCs w:val="0"/>
          <w:color w:val="auto"/>
          <w:sz w:val="32"/>
          <w:szCs w:val="32"/>
          <w:highlight w:val="none"/>
          <w:lang w:val="en-US" w:eastAsia="zh-CN"/>
        </w:rPr>
        <w:br w:type="textWrapping"/>
      </w:r>
      <w:r>
        <w:rPr>
          <w:rFonts w:hint="eastAsia" w:ascii="仿宋_GB2312" w:hAnsi="仿宋_GB2312" w:eastAsia="仿宋_GB2312" w:cs="仿宋_GB2312"/>
          <w:b w:val="0"/>
          <w:bCs w:val="0"/>
          <w:color w:val="auto"/>
          <w:sz w:val="32"/>
          <w:szCs w:val="32"/>
          <w:highlight w:val="none"/>
          <w:lang w:val="en-US" w:eastAsia="zh-CN"/>
        </w:rPr>
        <w:t xml:space="preserve">    （五）将造成重大生产设备损坏或引起重大直接经济损失的。</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重要电力用户的保安负荷由用户提出，经供、用电双方参考《重要电力用户供电电源及自备应急电源配置技术规范》( GB / T 29328—2018）中附录D以及用户电力负荷中的一级负荷设备共同协商确定，并报所在县（市）区电力主管部门备案。</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第二十八条 </w:t>
      </w:r>
      <w:r>
        <w:rPr>
          <w:rFonts w:hint="eastAsia" w:ascii="仿宋_GB2312" w:hAnsi="仿宋_GB2312" w:eastAsia="仿宋_GB2312" w:cs="仿宋_GB2312"/>
          <w:b w:val="0"/>
          <w:bCs w:val="0"/>
          <w:color w:val="auto"/>
          <w:sz w:val="32"/>
          <w:szCs w:val="32"/>
          <w:highlight w:val="none"/>
          <w:lang w:val="en-US" w:eastAsia="zh-CN"/>
        </w:rPr>
        <w:t>本办法自印发之日起施行。如相关法律法规及政策发生调整变化，有新规定的，从其规定。</w:t>
      </w:r>
    </w:p>
    <w:p>
      <w:pPr>
        <w:keepNext w:val="0"/>
        <w:keepLines w:val="0"/>
        <w:pageBreakBefore w:val="0"/>
        <w:numPr>
          <w:ilvl w:val="0"/>
          <w:numId w:val="0"/>
        </w:numPr>
        <w:wordWrap/>
        <w:topLinePunct w:val="0"/>
        <w:autoSpaceDE/>
        <w:autoSpaceDN/>
        <w:bidi w:val="0"/>
        <w:adjustRightInd/>
        <w:snapToGrid w:val="0"/>
        <w:spacing w:line="600" w:lineRule="exact"/>
        <w:ind w:firstLine="622" w:firstLineChars="200"/>
        <w:textAlignment w:val="baseline"/>
        <w:rPr>
          <w:rFonts w:hint="eastAsia" w:ascii="仿宋_GB2312" w:hAnsi="仿宋_GB2312" w:eastAsia="仿宋_GB2312" w:cs="仿宋_GB2312"/>
          <w:b w:val="0"/>
          <w:bCs w:val="0"/>
          <w:color w:val="auto"/>
          <w:sz w:val="32"/>
          <w:szCs w:val="32"/>
          <w:highlight w:val="none"/>
          <w:lang w:val="en-US" w:eastAsia="zh-CN"/>
        </w:rPr>
        <w:sectPr>
          <w:headerReference r:id="rId3" w:type="default"/>
          <w:footerReference r:id="rId5" w:type="default"/>
          <w:headerReference r:id="rId4" w:type="even"/>
          <w:footerReference r:id="rId6" w:type="even"/>
          <w:pgSz w:w="11900" w:h="16840"/>
          <w:pgMar w:top="2098" w:right="1474" w:bottom="1984" w:left="1587" w:header="0" w:footer="6" w:gutter="0"/>
          <w:pgBorders>
            <w:top w:val="none" w:sz="0" w:space="0"/>
            <w:left w:val="none" w:sz="0" w:space="0"/>
            <w:bottom w:val="none" w:sz="0" w:space="0"/>
            <w:right w:val="none" w:sz="0" w:space="0"/>
          </w:pgBorders>
          <w:pgNumType w:fmt="decimal" w:start="1"/>
          <w:cols w:space="720" w:num="1"/>
          <w:rtlGutter w:val="0"/>
          <w:docGrid w:type="linesAndChars" w:linePitch="579" w:charSpace="-1867"/>
        </w:sectPr>
      </w:pPr>
      <w:r>
        <w:rPr>
          <w:rFonts w:hint="eastAsia" w:ascii="仿宋_GB2312" w:hAnsi="仿宋_GB2312" w:eastAsia="仿宋_GB2312" w:cs="仿宋_GB2312"/>
          <w:b w:val="0"/>
          <w:bCs w:val="0"/>
          <w:color w:val="auto"/>
          <w:sz w:val="32"/>
          <w:szCs w:val="32"/>
          <w:highlight w:val="none"/>
          <w:lang w:val="en-US" w:eastAsia="zh-CN"/>
        </w:rPr>
        <w:t>附件：铁岭市重要电力用户范围表</w:t>
      </w:r>
    </w:p>
    <w:p>
      <w:pPr>
        <w:pStyle w:val="6"/>
        <w:keepNext w:val="0"/>
        <w:keepLines w:val="0"/>
        <w:pageBreakBefore w:val="0"/>
        <w:widowControl/>
        <w:shd w:val="clear" w:color="auto" w:fill="FFFFFF"/>
        <w:wordWrap/>
        <w:topLinePunct w:val="0"/>
        <w:autoSpaceDE/>
        <w:autoSpaceDN/>
        <w:bidi w:val="0"/>
        <w:adjustRightInd/>
        <w:snapToGrid w:val="0"/>
        <w:spacing w:before="0" w:beforeAutospacing="0" w:after="0" w:afterAutospacing="0" w:line="600" w:lineRule="exact"/>
        <w:rPr>
          <w:rFonts w:hint="eastAsia" w:ascii="仿宋_GB2312" w:hAnsi="仿宋_GB2312" w:eastAsia="仿宋_GB2312" w:cs="仿宋_GB2312"/>
          <w:b w:val="0"/>
          <w:bCs w:val="0"/>
          <w:sz w:val="32"/>
          <w:szCs w:val="32"/>
          <w:lang w:eastAsia="zh-CN"/>
        </w:rPr>
      </w:pPr>
      <w:r>
        <w:rPr>
          <w:rFonts w:hint="eastAsia" w:ascii="黑体" w:hAnsi="黑体" w:eastAsia="黑体" w:cs="黑体"/>
          <w:b w:val="0"/>
          <w:bCs w:val="0"/>
          <w:sz w:val="32"/>
          <w:szCs w:val="32"/>
        </w:rPr>
        <w:t>附件</w:t>
      </w:r>
    </w:p>
    <w:p>
      <w:pPr>
        <w:keepNext w:val="0"/>
        <w:keepLines w:val="0"/>
        <w:pageBreakBefore w:val="0"/>
        <w:wordWrap/>
        <w:topLinePunct w:val="0"/>
        <w:autoSpaceDE/>
        <w:autoSpaceDN/>
        <w:bidi w:val="0"/>
        <w:adjustRightInd/>
        <w:spacing w:line="600" w:lineRule="exact"/>
        <w:jc w:val="center"/>
        <w:rPr>
          <w:rFonts w:hint="eastAsia" w:ascii="方正小标宋简体" w:hAnsi="方正小标宋简体" w:eastAsia="方正小标宋简体" w:cs="方正小标宋简体"/>
          <w:b w:val="0"/>
          <w:bCs w:val="0"/>
          <w:color w:val="auto"/>
          <w:sz w:val="44"/>
          <w:szCs w:val="44"/>
          <w:highlight w:val="none"/>
          <w:lang w:eastAsia="zh-CN"/>
        </w:rPr>
      </w:pPr>
      <w:r>
        <w:rPr>
          <w:rFonts w:hint="eastAsia" w:ascii="方正小标宋简体" w:hAnsi="方正小标宋简体" w:eastAsia="方正小标宋简体" w:cs="方正小标宋简体"/>
          <w:b w:val="0"/>
          <w:bCs w:val="0"/>
          <w:sz w:val="44"/>
          <w:szCs w:val="44"/>
        </w:rPr>
        <w:t xml:space="preserve">  </w:t>
      </w:r>
      <w:r>
        <w:rPr>
          <w:rFonts w:hint="eastAsia" w:ascii="方正小标宋简体" w:hAnsi="方正小标宋简体" w:eastAsia="方正小标宋简体" w:cs="方正小标宋简体"/>
          <w:b w:val="0"/>
          <w:bCs w:val="0"/>
          <w:color w:val="auto"/>
          <w:sz w:val="44"/>
          <w:szCs w:val="44"/>
          <w:highlight w:val="none"/>
          <w:lang w:eastAsia="zh-CN"/>
        </w:rPr>
        <w:t>重要电力用户范围表</w:t>
      </w:r>
    </w:p>
    <w:p>
      <w:pPr>
        <w:keepNext w:val="0"/>
        <w:keepLines w:val="0"/>
        <w:pageBreakBefore w:val="0"/>
        <w:wordWrap/>
        <w:topLinePunct w:val="0"/>
        <w:autoSpaceDE/>
        <w:autoSpaceDN/>
        <w:bidi w:val="0"/>
        <w:adjustRightInd/>
        <w:spacing w:line="600" w:lineRule="exact"/>
        <w:jc w:val="center"/>
        <w:rPr>
          <w:rFonts w:hint="eastAsia" w:ascii="方正小标宋简体" w:hAnsi="方正小标宋简体" w:eastAsia="方正小标宋简体" w:cs="方正小标宋简体"/>
          <w:b w:val="0"/>
          <w:bCs w:val="0"/>
          <w:color w:val="auto"/>
          <w:sz w:val="44"/>
          <w:szCs w:val="44"/>
          <w:highlight w:val="none"/>
          <w:lang w:eastAsia="zh-CN"/>
        </w:rPr>
      </w:pPr>
    </w:p>
    <w:tbl>
      <w:tblPr>
        <w:tblStyle w:val="7"/>
        <w:tblW w:w="9622" w:type="dxa"/>
        <w:jc w:val="center"/>
        <w:tblLayout w:type="fixed"/>
        <w:tblCellMar>
          <w:top w:w="0" w:type="dxa"/>
          <w:left w:w="10" w:type="dxa"/>
          <w:bottom w:w="0" w:type="dxa"/>
          <w:right w:w="10" w:type="dxa"/>
        </w:tblCellMar>
      </w:tblPr>
      <w:tblGrid>
        <w:gridCol w:w="742"/>
        <w:gridCol w:w="1465"/>
        <w:gridCol w:w="3207"/>
        <w:gridCol w:w="2850"/>
        <w:gridCol w:w="1358"/>
      </w:tblGrid>
      <w:tr>
        <w:tblPrEx>
          <w:tblCellMar>
            <w:top w:w="0" w:type="dxa"/>
            <w:left w:w="10" w:type="dxa"/>
            <w:bottom w:w="0" w:type="dxa"/>
            <w:right w:w="10" w:type="dxa"/>
          </w:tblCellMar>
        </w:tblPrEx>
        <w:trPr>
          <w:trHeight w:val="941" w:hRule="exact"/>
          <w:jc w:val="center"/>
        </w:trPr>
        <w:tc>
          <w:tcPr>
            <w:tcW w:w="2207"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rPr>
            </w:pPr>
            <w:r>
              <w:rPr>
                <w:rFonts w:hint="eastAsia" w:ascii="黑体" w:hAnsi="黑体" w:eastAsia="黑体" w:cs="黑体"/>
                <w:b w:val="0"/>
                <w:bCs w:val="0"/>
                <w:color w:val="auto"/>
              </w:rPr>
              <w:t>重要电力用户类别</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rPr>
            </w:pPr>
            <w:r>
              <w:rPr>
                <w:rFonts w:hint="eastAsia" w:ascii="黑体" w:hAnsi="黑体" w:eastAsia="黑体" w:cs="黑体"/>
                <w:b w:val="0"/>
                <w:bCs w:val="0"/>
                <w:color w:val="auto"/>
              </w:rPr>
              <w:t>重要电力用户范围</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断电影响</w:t>
            </w:r>
          </w:p>
        </w:tc>
        <w:tc>
          <w:tcPr>
            <w:tcW w:w="13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行业安全生产</w:t>
            </w:r>
          </w:p>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管理部门</w:t>
            </w:r>
          </w:p>
        </w:tc>
      </w:tr>
      <w:tr>
        <w:tblPrEx>
          <w:tblCellMar>
            <w:top w:w="0" w:type="dxa"/>
            <w:left w:w="10" w:type="dxa"/>
            <w:bottom w:w="0" w:type="dxa"/>
            <w:right w:w="10" w:type="dxa"/>
          </w:tblCellMar>
        </w:tblPrEx>
        <w:trPr>
          <w:trHeight w:val="617" w:hRule="exact"/>
          <w:jc w:val="center"/>
        </w:trPr>
        <w:tc>
          <w:tcPr>
            <w:tcW w:w="742"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w:t>
            </w:r>
            <w:r>
              <w:rPr>
                <w:rFonts w:hint="eastAsia" w:ascii="Times New Roman" w:hAnsi="Times New Roman" w:cs="Times New Roman"/>
                <w:b w:val="0"/>
                <w:bCs w:val="0"/>
                <w:color w:val="auto"/>
                <w:sz w:val="17"/>
                <w:szCs w:val="17"/>
                <w:lang w:val="en-US" w:eastAsia="zh-CN" w:bidi="en-US"/>
              </w:rPr>
              <w:t>1.2</w:t>
            </w:r>
            <w:r>
              <w:rPr>
                <w:rFonts w:ascii="Times New Roman" w:hAnsi="Times New Roman" w:eastAsia="Times New Roman" w:cs="Times New Roman"/>
                <w:b w:val="0"/>
                <w:bCs w:val="0"/>
                <w:color w:val="auto"/>
                <w:sz w:val="17"/>
                <w:szCs w:val="17"/>
                <w:lang w:val="en-US" w:eastAsia="en-US" w:bidi="en-US"/>
              </w:rPr>
              <w:t>］</w:t>
            </w:r>
            <w:r>
              <w:rPr>
                <w:b w:val="0"/>
                <w:bCs w:val="0"/>
                <w:color w:val="auto"/>
              </w:rPr>
              <w:t>非煤矿山</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井工非煤矿山</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可能引发人身伤亡</w:t>
            </w:r>
          </w:p>
        </w:tc>
        <w:tc>
          <w:tcPr>
            <w:tcW w:w="1358"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rFonts w:hint="eastAsia"/>
                <w:b w:val="0"/>
                <w:bCs w:val="0"/>
                <w:color w:val="auto"/>
                <w:lang w:val="en-US" w:eastAsia="zh-CN"/>
              </w:rPr>
              <w:t>市应急管理局</w:t>
            </w:r>
          </w:p>
        </w:tc>
      </w:tr>
      <w:tr>
        <w:tblPrEx>
          <w:tblCellMar>
            <w:top w:w="0" w:type="dxa"/>
            <w:left w:w="10" w:type="dxa"/>
            <w:bottom w:w="0" w:type="dxa"/>
            <w:right w:w="10" w:type="dxa"/>
          </w:tblCellMar>
        </w:tblPrEx>
        <w:trPr>
          <w:trHeight w:val="922"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w:t>
            </w:r>
            <w:r>
              <w:rPr>
                <w:rFonts w:hint="eastAsia" w:ascii="Times New Roman" w:hAnsi="Times New Roman" w:cs="Times New Roman"/>
                <w:b w:val="0"/>
                <w:bCs w:val="0"/>
                <w:color w:val="auto"/>
                <w:sz w:val="17"/>
                <w:szCs w:val="17"/>
                <w:lang w:val="en-US" w:eastAsia="zh-CN" w:bidi="en-US"/>
              </w:rPr>
              <w:t>2.1</w:t>
            </w:r>
            <w:r>
              <w:rPr>
                <w:rFonts w:ascii="Times New Roman" w:hAnsi="Times New Roman" w:eastAsia="Times New Roman" w:cs="Times New Roman"/>
                <w:b w:val="0"/>
                <w:bCs w:val="0"/>
                <w:color w:val="auto"/>
                <w:sz w:val="17"/>
                <w:szCs w:val="17"/>
                <w:lang w:val="en-US" w:eastAsia="en-US" w:bidi="en-US"/>
              </w:rPr>
              <w:t>］</w:t>
            </w:r>
            <w:r>
              <w:rPr>
                <w:b w:val="0"/>
                <w:bCs w:val="0"/>
                <w:color w:val="auto"/>
              </w:rPr>
              <w:t>石化</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以石油为原料的化工企业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val="0"/>
                <w:bCs w:val="0"/>
                <w:color w:val="auto"/>
                <w:lang w:val="en-US" w:eastAsia="zh-CN"/>
              </w:rPr>
            </w:pPr>
            <w:r>
              <w:rPr>
                <w:rFonts w:hint="eastAsia"/>
                <w:b w:val="0"/>
                <w:bCs w:val="0"/>
                <w:color w:val="auto"/>
                <w:lang w:val="en-US" w:eastAsia="zh-CN"/>
              </w:rPr>
              <w:t>可能引发人身伤亡、中毒、爆炸或火灾等重大安全事故、造成重大经济损失和严重环境污染</w:t>
            </w:r>
          </w:p>
        </w:tc>
        <w:tc>
          <w:tcPr>
            <w:tcW w:w="135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902"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w:t>
            </w:r>
            <w:r>
              <w:rPr>
                <w:rFonts w:hint="eastAsia" w:ascii="Times New Roman" w:hAnsi="Times New Roman" w:cs="Times New Roman"/>
                <w:b w:val="0"/>
                <w:bCs w:val="0"/>
                <w:color w:val="auto"/>
                <w:sz w:val="17"/>
                <w:szCs w:val="17"/>
                <w:lang w:val="en-US" w:eastAsia="zh-CN" w:bidi="en-US"/>
              </w:rPr>
              <w:t>2.2</w:t>
            </w:r>
            <w:r>
              <w:rPr>
                <w:rFonts w:ascii="Times New Roman" w:hAnsi="Times New Roman" w:eastAsia="Times New Roman" w:cs="Times New Roman"/>
                <w:b w:val="0"/>
                <w:bCs w:val="0"/>
                <w:color w:val="auto"/>
                <w:sz w:val="17"/>
                <w:szCs w:val="17"/>
                <w:lang w:val="en-US" w:eastAsia="en-US" w:bidi="en-US"/>
              </w:rPr>
              <w:t>］</w:t>
            </w:r>
            <w:r>
              <w:rPr>
                <w:b w:val="0"/>
                <w:bCs w:val="0"/>
                <w:color w:val="auto"/>
              </w:rPr>
              <w:t>盐化</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以粗盐为原料的化工企业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可能引发人身伤亡、中毒、爆炸或火灾等重大安全事故、造成重大经济损失和严重环境污染</w:t>
            </w:r>
          </w:p>
        </w:tc>
        <w:tc>
          <w:tcPr>
            <w:tcW w:w="135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902"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［A2.3］</w:t>
            </w:r>
            <w:r>
              <w:rPr>
                <w:b w:val="0"/>
                <w:bCs w:val="0"/>
                <w:color w:val="auto"/>
              </w:rPr>
              <w:t>煤化</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以煤为原料的化工企业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可能引发人身伤亡、中毒、爆炸或火灾等重大安全事故、造成重大经济损失和严重环境污染</w:t>
            </w:r>
          </w:p>
        </w:tc>
        <w:tc>
          <w:tcPr>
            <w:tcW w:w="135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907"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w:t>
            </w:r>
            <w:r>
              <w:rPr>
                <w:rFonts w:hint="eastAsia" w:ascii="Times New Roman" w:hAnsi="Times New Roman" w:cs="Times New Roman"/>
                <w:b w:val="0"/>
                <w:bCs w:val="0"/>
                <w:color w:val="auto"/>
                <w:sz w:val="17"/>
                <w:szCs w:val="17"/>
                <w:lang w:val="en-US" w:eastAsia="zh-CN" w:bidi="en-US"/>
              </w:rPr>
              <w:t>2.4</w:t>
            </w:r>
            <w:r>
              <w:rPr>
                <w:rFonts w:ascii="Times New Roman" w:hAnsi="Times New Roman" w:eastAsia="Times New Roman" w:cs="Times New Roman"/>
                <w:b w:val="0"/>
                <w:bCs w:val="0"/>
                <w:color w:val="auto"/>
                <w:sz w:val="17"/>
                <w:szCs w:val="17"/>
                <w:lang w:val="en-US" w:eastAsia="en-US" w:bidi="en-US"/>
              </w:rPr>
              <w:t>］</w:t>
            </w:r>
            <w:r>
              <w:rPr>
                <w:b w:val="0"/>
                <w:bCs w:val="0"/>
                <w:color w:val="auto"/>
              </w:rPr>
              <w:t>精细化工</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生产精细化学品的化工企业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可能引发人身伤亡、中毒、爆炸或火灾等重大安全事故、造成重大经济损失和严重环境污染</w:t>
            </w:r>
          </w:p>
        </w:tc>
        <w:tc>
          <w:tcPr>
            <w:tcW w:w="135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619"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[A3]</w:t>
            </w:r>
            <w:r>
              <w:rPr>
                <w:b w:val="0"/>
                <w:bCs w:val="0"/>
                <w:color w:val="auto"/>
              </w:rPr>
              <w:t>冶金</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黑色金属和有色金属的冶炼和加工企业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可能引发人身伤亡、爆炸或火灾等重大安全事故、造成重大经济损失</w:t>
            </w:r>
          </w:p>
        </w:tc>
        <w:tc>
          <w:tcPr>
            <w:tcW w:w="135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643"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[A4]</w:t>
            </w:r>
            <w:r>
              <w:rPr>
                <w:b w:val="0"/>
                <w:bCs w:val="0"/>
                <w:color w:val="auto"/>
              </w:rPr>
              <w:t>制造业</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汽车、造船、飞行器、发电机、锅炉、汽轮机、 机车、机床加工等机械制造和电子企业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可能引发人身伤亡、造成重大经济损失</w:t>
            </w:r>
          </w:p>
        </w:tc>
        <w:tc>
          <w:tcPr>
            <w:tcW w:w="1358"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638"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[A5]</w:t>
            </w:r>
            <w:r>
              <w:rPr>
                <w:b w:val="0"/>
                <w:bCs w:val="0"/>
                <w:color w:val="auto"/>
              </w:rPr>
              <w:t>军工</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航天航空、国防试验基地、危险性军工生产企业</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val="0"/>
                <w:bCs w:val="0"/>
                <w:color w:val="auto"/>
                <w:lang w:val="en-US" w:eastAsia="zh-CN"/>
              </w:rPr>
            </w:pPr>
            <w:r>
              <w:rPr>
                <w:rFonts w:hint="eastAsia"/>
                <w:b w:val="0"/>
                <w:bCs w:val="0"/>
                <w:color w:val="auto"/>
                <w:lang w:val="en-US" w:eastAsia="zh-CN"/>
              </w:rPr>
              <w:t>可能造成重大政治影响和重大社会影响、可能引发人身伤亡</w:t>
            </w:r>
          </w:p>
        </w:tc>
        <w:tc>
          <w:tcPr>
            <w:tcW w:w="13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lang w:val="en-US" w:eastAsia="zh-CN"/>
              </w:rPr>
            </w:pPr>
            <w:r>
              <w:rPr>
                <w:rFonts w:hint="eastAsia"/>
                <w:b w:val="0"/>
                <w:bCs w:val="0"/>
                <w:color w:val="auto"/>
                <w:lang w:val="en-US" w:eastAsia="zh-CN"/>
              </w:rPr>
              <w:t>市工业和信息化局</w:t>
            </w:r>
          </w:p>
        </w:tc>
      </w:tr>
      <w:tr>
        <w:tblPrEx>
          <w:tblCellMar>
            <w:top w:w="0" w:type="dxa"/>
            <w:left w:w="10" w:type="dxa"/>
            <w:bottom w:w="0" w:type="dxa"/>
            <w:right w:w="10" w:type="dxa"/>
          </w:tblCellMar>
        </w:tblPrEx>
        <w:trPr>
          <w:trHeight w:val="2722" w:hRule="exact"/>
          <w:jc w:val="center"/>
        </w:trPr>
        <w:tc>
          <w:tcPr>
            <w:tcW w:w="742"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ind w:firstLine="300"/>
              <w:jc w:val="left"/>
              <w:textAlignment w:val="auto"/>
              <w:rPr>
                <w:b w:val="0"/>
                <w:bCs w:val="0"/>
                <w:color w:val="auto"/>
                <w:sz w:val="17"/>
                <w:szCs w:val="17"/>
              </w:rPr>
            </w:pPr>
            <w:r>
              <w:rPr>
                <w:rFonts w:ascii="Times New Roman" w:hAnsi="Times New Roman" w:eastAsia="Times New Roman" w:cs="Times New Roman"/>
                <w:b w:val="0"/>
                <w:bCs w:val="0"/>
                <w:color w:val="auto"/>
                <w:sz w:val="17"/>
                <w:szCs w:val="17"/>
                <w:lang w:val="en-US" w:eastAsia="en-US" w:bidi="en-US"/>
              </w:rPr>
              <w:t>[B]</w:t>
            </w:r>
          </w:p>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b w:val="0"/>
                <w:bCs w:val="0"/>
                <w:color w:val="auto"/>
              </w:rPr>
              <w:t>社会类</w:t>
            </w: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rFonts w:ascii="Times New Roman" w:hAnsi="Times New Roman" w:eastAsia="Times New Roman" w:cs="Times New Roman"/>
                <w:b w:val="0"/>
                <w:bCs w:val="0"/>
                <w:color w:val="auto"/>
                <w:sz w:val="17"/>
                <w:szCs w:val="17"/>
                <w:lang w:val="en-US" w:eastAsia="zh-CN" w:bidi="en-US"/>
              </w:rPr>
              <w:t>[B1]</w:t>
            </w:r>
            <w:r>
              <w:rPr>
                <w:b w:val="0"/>
                <w:bCs w:val="0"/>
                <w:color w:val="auto"/>
              </w:rPr>
              <w:t>党政司法机关、 国际组织、</w:t>
            </w:r>
          </w:p>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b w:val="0"/>
                <w:bCs w:val="0"/>
                <w:color w:val="auto"/>
              </w:rPr>
              <w:t>各类应急指挥中心</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家级首脑机关的办公地点，外国驻华使馆及外交机构，省级党政机关、地市级党政机关和一些重要的涉外组织；以及省级气象监测指挥和预报中心、电力调度中心、重要水利大坝、重要的防汛防洪闸门、排涝站、地震监测指挥预报中心、防汛防灾等应急指挥中心、消防（含森林防火）指挥中心、交通指挥中心、公安监控指挥中心等重要应急指挥中心、人民防空指挥中心</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可能造成重大政治影响和重大社会影响</w:t>
            </w:r>
          </w:p>
        </w:tc>
        <w:tc>
          <w:tcPr>
            <w:tcW w:w="13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市应急管理局等</w:t>
            </w:r>
          </w:p>
        </w:tc>
      </w:tr>
      <w:tr>
        <w:tblPrEx>
          <w:tblCellMar>
            <w:top w:w="0" w:type="dxa"/>
            <w:left w:w="10" w:type="dxa"/>
            <w:bottom w:w="0" w:type="dxa"/>
            <w:right w:w="10" w:type="dxa"/>
          </w:tblCellMar>
        </w:tblPrEx>
        <w:trPr>
          <w:trHeight w:val="1312"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w:t>
            </w:r>
            <w:r>
              <w:rPr>
                <w:rFonts w:hint="eastAsia" w:ascii="Times New Roman" w:hAnsi="Times New Roman" w:cs="Times New Roman"/>
                <w:b w:val="0"/>
                <w:bCs w:val="0"/>
                <w:color w:val="auto"/>
                <w:sz w:val="17"/>
                <w:szCs w:val="17"/>
                <w:lang w:val="en-US" w:eastAsia="zh-CN" w:bidi="en-US"/>
              </w:rPr>
              <w:t>2</w:t>
            </w:r>
            <w:r>
              <w:rPr>
                <w:rFonts w:ascii="Times New Roman" w:hAnsi="Times New Roman" w:eastAsia="Times New Roman" w:cs="Times New Roman"/>
                <w:b w:val="0"/>
                <w:bCs w:val="0"/>
                <w:color w:val="auto"/>
                <w:sz w:val="17"/>
                <w:szCs w:val="17"/>
                <w:lang w:val="en-US" w:eastAsia="en-US" w:bidi="en-US"/>
              </w:rPr>
              <w:t>]</w:t>
            </w:r>
            <w:r>
              <w:rPr>
                <w:b w:val="0"/>
                <w:bCs w:val="0"/>
                <w:color w:val="auto"/>
              </w:rPr>
              <w:t>通信</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国家级和省级的枢纽、容灾备份中心、省会级枢纽、长途通信楼、核心网局、互联网安全中心、省级</w:t>
            </w:r>
            <w:r>
              <w:rPr>
                <w:rFonts w:ascii="Times New Roman" w:hAnsi="Times New Roman" w:eastAsia="Times New Roman" w:cs="Times New Roman"/>
                <w:b w:val="0"/>
                <w:bCs w:val="0"/>
                <w:color w:val="auto"/>
                <w:sz w:val="17"/>
                <w:szCs w:val="17"/>
                <w:lang w:val="en-US" w:eastAsia="zh-CN" w:bidi="en-US"/>
              </w:rPr>
              <w:t>IDC</w:t>
            </w:r>
            <w:r>
              <w:rPr>
                <w:b w:val="0"/>
                <w:bCs w:val="0"/>
                <w:color w:val="auto"/>
              </w:rPr>
              <w:t>数据机房、网管计费中心、国际关口局、卫星地球站</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可能造成大的社会影响</w:t>
            </w:r>
          </w:p>
        </w:tc>
        <w:tc>
          <w:tcPr>
            <w:tcW w:w="13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lang w:val="en-US" w:eastAsia="zh-CN"/>
              </w:rPr>
            </w:pPr>
            <w:r>
              <w:rPr>
                <w:rFonts w:hint="eastAsia"/>
                <w:b w:val="0"/>
                <w:bCs w:val="0"/>
                <w:color w:val="auto"/>
                <w:lang w:val="en-US" w:eastAsia="zh-CN"/>
              </w:rPr>
              <w:t>市通信管理办</w:t>
            </w:r>
          </w:p>
        </w:tc>
      </w:tr>
      <w:tr>
        <w:tblPrEx>
          <w:tblCellMar>
            <w:top w:w="0" w:type="dxa"/>
            <w:left w:w="10" w:type="dxa"/>
            <w:bottom w:w="0" w:type="dxa"/>
            <w:right w:w="10" w:type="dxa"/>
          </w:tblCellMar>
        </w:tblPrEx>
        <w:trPr>
          <w:trHeight w:val="848" w:hRule="exact"/>
          <w:jc w:val="center"/>
        </w:trPr>
        <w:tc>
          <w:tcPr>
            <w:tcW w:w="742"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4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w:t>
            </w:r>
            <w:r>
              <w:rPr>
                <w:rFonts w:hint="eastAsia" w:ascii="Times New Roman" w:hAnsi="Times New Roman" w:cs="Times New Roman"/>
                <w:b w:val="0"/>
                <w:bCs w:val="0"/>
                <w:color w:val="auto"/>
                <w:sz w:val="17"/>
                <w:szCs w:val="17"/>
                <w:lang w:val="en-US" w:eastAsia="zh-CN" w:bidi="en-US"/>
              </w:rPr>
              <w:t>3</w:t>
            </w:r>
            <w:r>
              <w:rPr>
                <w:rFonts w:ascii="Times New Roman" w:hAnsi="Times New Roman" w:eastAsia="Times New Roman" w:cs="Times New Roman"/>
                <w:b w:val="0"/>
                <w:bCs w:val="0"/>
                <w:color w:val="auto"/>
                <w:sz w:val="17"/>
                <w:szCs w:val="17"/>
                <w:lang w:val="en-US" w:eastAsia="en-US" w:bidi="en-US"/>
              </w:rPr>
              <w:t>]</w:t>
            </w:r>
            <w:r>
              <w:rPr>
                <w:b w:val="0"/>
                <w:bCs w:val="0"/>
                <w:color w:val="auto"/>
              </w:rPr>
              <w:t>新闻媒体</w:t>
            </w:r>
          </w:p>
        </w:tc>
        <w:tc>
          <w:tcPr>
            <w:tcW w:w="3207"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国家级和省级广播电视机构及广播电台、电视台、无线发射台、监测台，卫星地球站等</w:t>
            </w:r>
          </w:p>
        </w:tc>
        <w:tc>
          <w:tcPr>
            <w:tcW w:w="2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可能造成大的政治影响和社会影响</w:t>
            </w:r>
          </w:p>
        </w:tc>
        <w:tc>
          <w:tcPr>
            <w:tcW w:w="13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lang w:val="en-US" w:eastAsia="zh-CN"/>
              </w:rPr>
            </w:pPr>
            <w:r>
              <w:rPr>
                <w:rFonts w:hint="eastAsia"/>
                <w:b w:val="0"/>
                <w:bCs w:val="0"/>
                <w:color w:val="auto"/>
                <w:lang w:val="en-US" w:eastAsia="zh-CN"/>
              </w:rPr>
              <w:t>市文化旅游和广播电视局</w:t>
            </w:r>
          </w:p>
        </w:tc>
      </w:tr>
    </w:tbl>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sectPr>
          <w:pgSz w:w="11900" w:h="16838"/>
          <w:pgMar w:top="1134" w:right="1134" w:bottom="1134" w:left="1134" w:header="0" w:footer="6" w:gutter="0"/>
          <w:pgBorders>
            <w:top w:val="none" w:sz="0" w:space="0"/>
            <w:left w:val="none" w:sz="0" w:space="0"/>
            <w:bottom w:val="none" w:sz="0" w:space="0"/>
            <w:right w:val="none" w:sz="0" w:space="0"/>
          </w:pgBorders>
          <w:pgNumType w:fmt="decimal" w:start="1"/>
          <w:cols w:space="720" w:num="1"/>
          <w:rtlGutter w:val="0"/>
          <w:docGrid w:type="linesAndChars" w:linePitch="583" w:charSpace="-1228"/>
        </w:sectPr>
      </w:pPr>
    </w:p>
    <w:tbl>
      <w:tblPr>
        <w:tblStyle w:val="7"/>
        <w:tblpPr w:leftFromText="181" w:rightFromText="181" w:horzAnchor="page" w:tblpX="1203" w:tblpYSpec="top"/>
        <w:tblOverlap w:val="never"/>
        <w:tblW w:w="9198" w:type="dxa"/>
        <w:tblInd w:w="0" w:type="dxa"/>
        <w:tblLayout w:type="fixed"/>
        <w:tblCellMar>
          <w:top w:w="0" w:type="dxa"/>
          <w:left w:w="10" w:type="dxa"/>
          <w:bottom w:w="0" w:type="dxa"/>
          <w:right w:w="10" w:type="dxa"/>
        </w:tblCellMar>
      </w:tblPr>
      <w:tblGrid>
        <w:gridCol w:w="633"/>
        <w:gridCol w:w="1539"/>
        <w:gridCol w:w="2622"/>
        <w:gridCol w:w="2789"/>
        <w:gridCol w:w="1615"/>
      </w:tblGrid>
      <w:tr>
        <w:tblPrEx>
          <w:tblCellMar>
            <w:top w:w="0" w:type="dxa"/>
            <w:left w:w="10" w:type="dxa"/>
            <w:bottom w:w="0" w:type="dxa"/>
            <w:right w:w="10" w:type="dxa"/>
          </w:tblCellMar>
        </w:tblPrEx>
        <w:trPr>
          <w:trHeight w:val="812" w:hRule="exact"/>
        </w:trPr>
        <w:tc>
          <w:tcPr>
            <w:tcW w:w="2172" w:type="dxa"/>
            <w:gridSpan w:val="2"/>
            <w:tcBorders>
              <w:top w:val="single" w:color="auto" w:sz="4" w:space="0"/>
              <w:left w:val="single" w:color="auto" w:sz="4" w:space="0"/>
              <w:bottom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rPr>
            </w:pPr>
            <w:bookmarkStart w:id="0" w:name="bookmark30"/>
            <w:bookmarkStart w:id="1" w:name="bookmark31"/>
            <w:bookmarkStart w:id="2" w:name="bookmark32"/>
            <w:r>
              <w:rPr>
                <w:rFonts w:hint="eastAsia" w:ascii="黑体" w:hAnsi="黑体" w:eastAsia="黑体" w:cs="黑体"/>
                <w:b w:val="0"/>
                <w:bCs w:val="0"/>
                <w:color w:val="auto"/>
              </w:rPr>
              <w:t>重要电力用户类别</w:t>
            </w:r>
          </w:p>
        </w:tc>
        <w:tc>
          <w:tcPr>
            <w:tcW w:w="2622" w:type="dxa"/>
            <w:tcBorders>
              <w:top w:val="single" w:color="auto" w:sz="4" w:space="0"/>
              <w:left w:val="single" w:color="auto" w:sz="4" w:space="0"/>
              <w:bottom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rPr>
            </w:pPr>
            <w:r>
              <w:rPr>
                <w:rFonts w:hint="eastAsia" w:ascii="黑体" w:hAnsi="黑体" w:eastAsia="黑体" w:cs="黑体"/>
                <w:b w:val="0"/>
                <w:bCs w:val="0"/>
                <w:color w:val="auto"/>
              </w:rPr>
              <w:t>重要电</w:t>
            </w:r>
            <w:r>
              <w:rPr>
                <w:rFonts w:hint="eastAsia" w:ascii="黑体" w:hAnsi="黑体" w:eastAsia="黑体" w:cs="黑体"/>
                <w:b w:val="0"/>
                <w:bCs w:val="0"/>
                <w:color w:val="auto"/>
                <w:lang w:val="zh-CN" w:eastAsia="zh-CN" w:bidi="zh-CN"/>
              </w:rPr>
              <w:t>力用户</w:t>
            </w:r>
            <w:r>
              <w:rPr>
                <w:rFonts w:hint="eastAsia" w:ascii="黑体" w:hAnsi="黑体" w:eastAsia="黑体" w:cs="黑体"/>
                <w:b w:val="0"/>
                <w:bCs w:val="0"/>
                <w:color w:val="auto"/>
              </w:rPr>
              <w:t>范围</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断电影响</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行业安全生产</w:t>
            </w:r>
          </w:p>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auto"/>
                <w:lang w:val="en-US" w:eastAsia="zh-CN"/>
              </w:rPr>
            </w:pPr>
            <w:r>
              <w:rPr>
                <w:rFonts w:hint="eastAsia" w:ascii="黑体" w:hAnsi="黑体" w:eastAsia="黑体" w:cs="黑体"/>
                <w:b w:val="0"/>
                <w:bCs w:val="0"/>
                <w:color w:val="auto"/>
                <w:lang w:val="en-US" w:eastAsia="zh-CN"/>
              </w:rPr>
              <w:t>主管部门</w:t>
            </w:r>
          </w:p>
        </w:tc>
      </w:tr>
      <w:tr>
        <w:tblPrEx>
          <w:tblCellMar>
            <w:top w:w="0" w:type="dxa"/>
            <w:left w:w="10" w:type="dxa"/>
            <w:bottom w:w="0" w:type="dxa"/>
            <w:right w:w="10" w:type="dxa"/>
          </w:tblCellMar>
        </w:tblPrEx>
        <w:trPr>
          <w:trHeight w:val="801" w:hRule="exact"/>
        </w:trPr>
        <w:tc>
          <w:tcPr>
            <w:tcW w:w="63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sz w:val="17"/>
                <w:szCs w:val="17"/>
              </w:rPr>
            </w:pPr>
            <w:r>
              <w:rPr>
                <w:rFonts w:ascii="Times New Roman" w:hAnsi="Times New Roman" w:eastAsia="Times New Roman" w:cs="Times New Roman"/>
                <w:b w:val="0"/>
                <w:bCs w:val="0"/>
                <w:color w:val="auto"/>
                <w:sz w:val="17"/>
                <w:szCs w:val="17"/>
                <w:lang w:val="en-US" w:eastAsia="en-US" w:bidi="en-US"/>
              </w:rPr>
              <w:t>［B］</w:t>
            </w:r>
          </w:p>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b w:val="0"/>
                <w:bCs w:val="0"/>
                <w:color w:val="auto"/>
              </w:rPr>
              <w:t>社会类</w:t>
            </w: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ascii="Times New Roman" w:hAnsi="Times New Roman" w:cs="Times New Roman"/>
                <w:b w:val="0"/>
                <w:bCs w:val="0"/>
                <w:color w:val="auto"/>
                <w:sz w:val="17"/>
                <w:szCs w:val="17"/>
                <w:lang w:val="en-US" w:eastAsia="zh-CN" w:bidi="en-US"/>
              </w:rPr>
              <w:t>[</w:t>
            </w:r>
            <w:r>
              <w:rPr>
                <w:rFonts w:ascii="Times New Roman" w:hAnsi="Times New Roman" w:eastAsia="Times New Roman" w:cs="Times New Roman"/>
                <w:b w:val="0"/>
                <w:bCs w:val="0"/>
                <w:color w:val="auto"/>
                <w:sz w:val="17"/>
                <w:szCs w:val="17"/>
                <w:lang w:val="en-US" w:eastAsia="en-US" w:bidi="en-US"/>
              </w:rPr>
              <w:t>B4.</w:t>
            </w:r>
            <w:r>
              <w:rPr>
                <w:rFonts w:hint="eastAsia" w:ascii="Times New Roman" w:hAnsi="Times New Roman" w:cs="Times New Roman"/>
                <w:b w:val="0"/>
                <w:bCs w:val="0"/>
                <w:color w:val="auto"/>
                <w:sz w:val="17"/>
                <w:szCs w:val="17"/>
                <w:lang w:val="en-US" w:eastAsia="zh-CN" w:bidi="en-US"/>
              </w:rPr>
              <w:t>1]</w:t>
            </w:r>
            <w:r>
              <w:rPr>
                <w:b w:val="0"/>
                <w:bCs w:val="0"/>
                <w:color w:val="auto"/>
              </w:rPr>
              <w:t>数据中心</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r>
              <w:rPr>
                <w:b w:val="0"/>
                <w:bCs w:val="0"/>
                <w:color w:val="auto"/>
              </w:rPr>
              <w:t>全国性证券公司、省级证券交易中心</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lang w:val="en-US" w:eastAsia="zh-CN"/>
              </w:rPr>
            </w:pPr>
            <w:r>
              <w:rPr>
                <w:rFonts w:hint="eastAsia"/>
                <w:b w:val="0"/>
                <w:bCs w:val="0"/>
                <w:color w:val="auto"/>
                <w:lang w:val="en-US" w:eastAsia="zh-CN"/>
              </w:rPr>
              <w:t>可能造成大的经济损失和社会影响</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市金融发展局</w:t>
            </w:r>
          </w:p>
        </w:tc>
      </w:tr>
      <w:tr>
        <w:tblPrEx>
          <w:tblCellMar>
            <w:top w:w="0" w:type="dxa"/>
            <w:left w:w="10" w:type="dxa"/>
            <w:bottom w:w="0" w:type="dxa"/>
            <w:right w:w="10" w:type="dxa"/>
          </w:tblCellMar>
        </w:tblPrEx>
        <w:trPr>
          <w:trHeight w:val="826"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w:t>
            </w:r>
            <w:r>
              <w:rPr>
                <w:rFonts w:hint="eastAsia" w:ascii="Times New Roman" w:hAnsi="Times New Roman" w:cs="Times New Roman"/>
                <w:b w:val="0"/>
                <w:bCs w:val="0"/>
                <w:color w:val="auto"/>
                <w:sz w:val="17"/>
                <w:szCs w:val="17"/>
                <w:lang w:val="en-US" w:eastAsia="zh-CN" w:bidi="en-US"/>
              </w:rPr>
              <w:t>B</w:t>
            </w:r>
            <w:r>
              <w:rPr>
                <w:rFonts w:ascii="Times New Roman" w:hAnsi="Times New Roman" w:eastAsia="Times New Roman" w:cs="Times New Roman"/>
                <w:b w:val="0"/>
                <w:bCs w:val="0"/>
                <w:color w:val="auto"/>
                <w:sz w:val="17"/>
                <w:szCs w:val="17"/>
                <w:lang w:val="en-US" w:eastAsia="en-US" w:bidi="en-US"/>
              </w:rPr>
              <w:t>4.2</w:t>
            </w:r>
            <w:r>
              <w:rPr>
                <w:rFonts w:hint="eastAsia" w:ascii="Times New Roman" w:hAnsi="Times New Roman" w:cs="Times New Roman"/>
                <w:b w:val="0"/>
                <w:bCs w:val="0"/>
                <w:color w:val="auto"/>
                <w:sz w:val="17"/>
                <w:szCs w:val="17"/>
                <w:lang w:val="en-US" w:eastAsia="zh-CN" w:bidi="en-US"/>
              </w:rPr>
              <w:t xml:space="preserve">] </w:t>
            </w:r>
            <w:r>
              <w:rPr>
                <w:b w:val="0"/>
                <w:bCs w:val="0"/>
                <w:color w:val="auto"/>
              </w:rPr>
              <w:t>金融</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国家级银行、省级银行一级数据中心、大型电子商务中心和重要场所等</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val="en-US" w:eastAsia="zh-CN"/>
              </w:rPr>
              <w:t>可能造成大的经济损失和社会影响</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宋体"/>
                <w:b w:val="0"/>
                <w:bCs w:val="0"/>
                <w:color w:val="auto"/>
                <w:lang w:eastAsia="zh-CN"/>
              </w:rPr>
            </w:pPr>
            <w:r>
              <w:rPr>
                <w:rFonts w:hint="eastAsia"/>
                <w:b w:val="0"/>
                <w:bCs w:val="0"/>
                <w:color w:val="auto"/>
                <w:lang w:eastAsia="zh-CN"/>
              </w:rPr>
              <w:t>铁岭银保监分局</w:t>
            </w:r>
          </w:p>
        </w:tc>
      </w:tr>
      <w:tr>
        <w:tblPrEx>
          <w:tblCellMar>
            <w:top w:w="0" w:type="dxa"/>
            <w:left w:w="10" w:type="dxa"/>
            <w:bottom w:w="0" w:type="dxa"/>
            <w:right w:w="10" w:type="dxa"/>
          </w:tblCellMar>
        </w:tblPrEx>
        <w:trPr>
          <w:trHeight w:val="1145"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w:t>
            </w:r>
            <w:r>
              <w:rPr>
                <w:rFonts w:hint="eastAsia" w:ascii="Times New Roman" w:hAnsi="Times New Roman" w:cs="Times New Roman"/>
                <w:b w:val="0"/>
                <w:bCs w:val="0"/>
                <w:color w:val="auto"/>
                <w:sz w:val="17"/>
                <w:szCs w:val="17"/>
                <w:lang w:val="en-US" w:eastAsia="zh-CN" w:bidi="en-US"/>
              </w:rPr>
              <w:t>B5.1</w:t>
            </w:r>
            <w:r>
              <w:rPr>
                <w:rFonts w:ascii="Times New Roman" w:hAnsi="Times New Roman" w:eastAsia="Times New Roman" w:cs="Times New Roman"/>
                <w:b w:val="0"/>
                <w:bCs w:val="0"/>
                <w:color w:val="auto"/>
                <w:sz w:val="17"/>
                <w:szCs w:val="17"/>
                <w:lang w:val="en-US" w:eastAsia="en-US" w:bidi="en-US"/>
              </w:rPr>
              <w:t>］</w:t>
            </w:r>
            <w:r>
              <w:rPr>
                <w:b w:val="0"/>
                <w:bCs w:val="0"/>
                <w:color w:val="auto"/>
              </w:rPr>
              <w:t>供水、供热</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供水面积大的大</w:t>
            </w:r>
            <w:r>
              <w:rPr>
                <w:rFonts w:hint="eastAsia"/>
                <w:b w:val="0"/>
                <w:bCs w:val="0"/>
                <w:color w:val="auto"/>
                <w:lang w:eastAsia="zh-CN"/>
              </w:rPr>
              <w:t>、</w:t>
            </w:r>
            <w:r>
              <w:rPr>
                <w:b w:val="0"/>
                <w:bCs w:val="0"/>
                <w:color w:val="auto"/>
              </w:rPr>
              <w:t>中型水厂（用水泵进行取</w:t>
            </w:r>
            <w:r>
              <w:rPr>
                <w:b w:val="0"/>
                <w:bCs w:val="0"/>
                <w:color w:val="auto"/>
                <w:lang w:val="zh-CN" w:eastAsia="zh-CN" w:bidi="zh-CN"/>
              </w:rPr>
              <w:t>水）</w:t>
            </w:r>
            <w:r>
              <w:rPr>
                <w:b w:val="0"/>
                <w:bCs w:val="0"/>
                <w:color w:val="auto"/>
              </w:rPr>
              <w:t>、重要的加压站以及大型供热厂等</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val="en-US" w:eastAsia="zh-CN"/>
              </w:rPr>
            </w:pPr>
            <w:r>
              <w:rPr>
                <w:rFonts w:hint="eastAsia"/>
                <w:b w:val="0"/>
                <w:bCs w:val="0"/>
                <w:color w:val="auto"/>
                <w:lang w:val="en-US" w:eastAsia="zh-CN"/>
              </w:rPr>
              <w:t>可能造成社会公共秩序混乱</w:t>
            </w:r>
          </w:p>
        </w:tc>
        <w:tc>
          <w:tcPr>
            <w:tcW w:w="1615"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市住房城乡建设局</w:t>
            </w:r>
          </w:p>
        </w:tc>
      </w:tr>
      <w:tr>
        <w:tblPrEx>
          <w:tblCellMar>
            <w:top w:w="0" w:type="dxa"/>
            <w:left w:w="10" w:type="dxa"/>
            <w:bottom w:w="0" w:type="dxa"/>
            <w:right w:w="10" w:type="dxa"/>
          </w:tblCellMar>
        </w:tblPrEx>
        <w:trPr>
          <w:trHeight w:val="710"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w:t>
            </w:r>
            <w:r>
              <w:rPr>
                <w:rFonts w:hint="eastAsia" w:ascii="Times New Roman" w:hAnsi="Times New Roman" w:cs="Times New Roman"/>
                <w:b w:val="0"/>
                <w:bCs w:val="0"/>
                <w:color w:val="auto"/>
                <w:sz w:val="17"/>
                <w:szCs w:val="17"/>
                <w:lang w:val="en-US" w:eastAsia="zh-CN" w:bidi="en-US"/>
              </w:rPr>
              <w:t>5.2</w:t>
            </w:r>
            <w:r>
              <w:rPr>
                <w:rFonts w:ascii="Times New Roman" w:hAnsi="Times New Roman" w:eastAsia="Times New Roman" w:cs="Times New Roman"/>
                <w:b w:val="0"/>
                <w:bCs w:val="0"/>
                <w:color w:val="auto"/>
                <w:sz w:val="17"/>
                <w:szCs w:val="17"/>
                <w:lang w:val="en-US" w:eastAsia="en-US" w:bidi="en-US"/>
              </w:rPr>
              <w:t>］</w:t>
            </w:r>
            <w:r>
              <w:rPr>
                <w:b w:val="0"/>
                <w:bCs w:val="0"/>
                <w:color w:val="auto"/>
              </w:rPr>
              <w:t>污水处理</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国家一级污水处理厂、大中型污水处理厂</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eastAsia="zh-CN"/>
              </w:rPr>
            </w:pPr>
            <w:r>
              <w:rPr>
                <w:rFonts w:hint="eastAsia"/>
                <w:b w:val="0"/>
                <w:bCs w:val="0"/>
                <w:color w:val="auto"/>
                <w:lang w:eastAsia="zh-CN"/>
              </w:rPr>
              <w:t>可能造成严重环境污染</w:t>
            </w:r>
          </w:p>
        </w:tc>
        <w:tc>
          <w:tcPr>
            <w:tcW w:w="161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795"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[B5.3]</w:t>
            </w:r>
            <w:r>
              <w:rPr>
                <w:b w:val="0"/>
                <w:bCs w:val="0"/>
                <w:color w:val="auto"/>
              </w:rPr>
              <w:t>供气</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天然气城市门户站、燃气储配站、调压站（升压站、降压站）等</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eastAsia="zh-CN"/>
              </w:rPr>
            </w:pPr>
            <w:r>
              <w:rPr>
                <w:rFonts w:hint="eastAsia"/>
                <w:b w:val="0"/>
                <w:bCs w:val="0"/>
                <w:color w:val="auto"/>
                <w:lang w:eastAsia="zh-CN"/>
              </w:rPr>
              <w:t>可能造成安全事故和环境污染</w:t>
            </w:r>
          </w:p>
        </w:tc>
        <w:tc>
          <w:tcPr>
            <w:tcW w:w="1615"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rPr>
            </w:pPr>
            <w:r>
              <w:rPr>
                <w:rFonts w:hint="eastAsia"/>
                <w:b w:val="0"/>
                <w:bCs w:val="0"/>
                <w:color w:val="auto"/>
              </w:rPr>
              <w:t>市</w:t>
            </w:r>
            <w:r>
              <w:rPr>
                <w:rFonts w:hint="eastAsia"/>
                <w:b w:val="0"/>
                <w:bCs w:val="0"/>
                <w:color w:val="auto"/>
                <w:lang w:eastAsia="zh-CN"/>
              </w:rPr>
              <w:t>发展改革</w:t>
            </w:r>
            <w:r>
              <w:rPr>
                <w:rFonts w:hint="eastAsia"/>
                <w:b w:val="0"/>
                <w:bCs w:val="0"/>
                <w:color w:val="auto"/>
              </w:rPr>
              <w:t>委</w:t>
            </w:r>
          </w:p>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宋体"/>
                <w:b w:val="0"/>
                <w:bCs w:val="0"/>
                <w:color w:val="auto"/>
                <w:lang w:eastAsia="zh-CN"/>
              </w:rPr>
            </w:pPr>
            <w:r>
              <w:rPr>
                <w:rFonts w:hint="eastAsia"/>
                <w:b w:val="0"/>
                <w:bCs w:val="0"/>
                <w:color w:val="auto"/>
                <w:lang w:val="en-US" w:eastAsia="zh-CN"/>
              </w:rPr>
              <w:t>市住房城乡建设局</w:t>
            </w:r>
          </w:p>
        </w:tc>
      </w:tr>
      <w:tr>
        <w:tblPrEx>
          <w:tblCellMar>
            <w:top w:w="0" w:type="dxa"/>
            <w:left w:w="10" w:type="dxa"/>
            <w:bottom w:w="0" w:type="dxa"/>
            <w:right w:w="10" w:type="dxa"/>
          </w:tblCellMar>
        </w:tblPrEx>
        <w:trPr>
          <w:trHeight w:val="1225"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［B5.4］</w:t>
            </w:r>
            <w:r>
              <w:rPr>
                <w:b w:val="0"/>
                <w:bCs w:val="0"/>
                <w:color w:val="auto"/>
              </w:rPr>
              <w:t>天然气运输</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天然气输气干线、输气支线、矿场集气支线、矿场集气干线、配气管线、普通计量站等</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eastAsia="zh-CN"/>
              </w:rPr>
              <w:t>可能造成安全事故和环境污染</w:t>
            </w:r>
          </w:p>
        </w:tc>
        <w:tc>
          <w:tcPr>
            <w:tcW w:w="161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1043"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［B5.5］</w:t>
            </w:r>
            <w:r>
              <w:rPr>
                <w:b w:val="0"/>
                <w:bCs w:val="0"/>
                <w:color w:val="auto"/>
              </w:rPr>
              <w:t>石油运输</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石油输送首站、末站、减压站和压力、热力不可逾越的中间（热）泵站、其他各类输油站等</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仿宋_GB2312"/>
                <w:b w:val="0"/>
                <w:bCs w:val="0"/>
                <w:color w:val="auto"/>
                <w:lang w:eastAsia="zh-CN"/>
              </w:rPr>
            </w:pPr>
            <w:r>
              <w:rPr>
                <w:rFonts w:hint="eastAsia"/>
                <w:b w:val="0"/>
                <w:bCs w:val="0"/>
                <w:color w:val="auto"/>
                <w:lang w:eastAsia="zh-CN"/>
              </w:rPr>
              <w:t>可能造成安全事故和环境污染</w:t>
            </w:r>
          </w:p>
        </w:tc>
        <w:tc>
          <w:tcPr>
            <w:tcW w:w="161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rPr>
            </w:pPr>
          </w:p>
        </w:tc>
      </w:tr>
      <w:tr>
        <w:tblPrEx>
          <w:tblCellMar>
            <w:top w:w="0" w:type="dxa"/>
            <w:left w:w="10" w:type="dxa"/>
            <w:bottom w:w="0" w:type="dxa"/>
            <w:right w:w="10" w:type="dxa"/>
          </w:tblCellMar>
        </w:tblPrEx>
        <w:trPr>
          <w:trHeight w:val="1190"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［B6.1］</w:t>
            </w:r>
            <w:r>
              <w:rPr>
                <w:b w:val="0"/>
                <w:bCs w:val="0"/>
                <w:color w:val="auto"/>
              </w:rPr>
              <w:t>民用运输机场</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国际航空枢纽、地区性枢纽机场及一些普通小型机场</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eastAsia="zh-CN"/>
              </w:rPr>
            </w:pPr>
            <w:r>
              <w:rPr>
                <w:rFonts w:hint="eastAsia"/>
                <w:b w:val="0"/>
                <w:bCs w:val="0"/>
                <w:color w:val="auto"/>
                <w:lang w:eastAsia="zh-CN"/>
              </w:rPr>
              <w:t>可能引发人身伤亡、造成重大安全事故、造成大的政治影响和社会影响</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eastAsia="宋体"/>
                <w:b w:val="0"/>
                <w:bCs w:val="0"/>
                <w:color w:val="auto"/>
                <w:lang w:val="en-US" w:eastAsia="zh-CN"/>
              </w:rPr>
            </w:pPr>
            <w:r>
              <w:rPr>
                <w:rFonts w:hint="eastAsia"/>
                <w:b w:val="0"/>
                <w:bCs w:val="0"/>
                <w:color w:val="auto"/>
                <w:lang w:val="en-US" w:eastAsia="zh-CN"/>
              </w:rPr>
              <w:t xml:space="preserve">市应急管理局 </w:t>
            </w:r>
          </w:p>
        </w:tc>
      </w:tr>
      <w:tr>
        <w:tblPrEx>
          <w:tblCellMar>
            <w:top w:w="0" w:type="dxa"/>
            <w:left w:w="10" w:type="dxa"/>
            <w:bottom w:w="0" w:type="dxa"/>
            <w:right w:w="10" w:type="dxa"/>
          </w:tblCellMar>
        </w:tblPrEx>
        <w:trPr>
          <w:trHeight w:val="1808"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eastAsia="zh-CN"/>
              </w:rPr>
            </w:pPr>
            <w:r>
              <w:rPr>
                <w:rFonts w:ascii="Times New Roman" w:hAnsi="Times New Roman" w:eastAsia="Times New Roman" w:cs="Times New Roman"/>
                <w:b w:val="0"/>
                <w:bCs w:val="0"/>
                <w:color w:val="auto"/>
                <w:sz w:val="17"/>
                <w:szCs w:val="17"/>
                <w:lang w:val="en-US" w:eastAsia="zh-CN" w:bidi="en-US"/>
              </w:rPr>
              <w:t>［B6.</w:t>
            </w:r>
            <w:r>
              <w:rPr>
                <w:rFonts w:hint="eastAsia" w:ascii="Times New Roman" w:hAnsi="Times New Roman" w:cs="Times New Roman"/>
                <w:b w:val="0"/>
                <w:bCs w:val="0"/>
                <w:color w:val="auto"/>
                <w:sz w:val="17"/>
                <w:szCs w:val="17"/>
                <w:lang w:val="en-US" w:eastAsia="zh-CN" w:bidi="en-US"/>
              </w:rPr>
              <w:t>2</w:t>
            </w:r>
            <w:r>
              <w:rPr>
                <w:rFonts w:ascii="Times New Roman" w:hAnsi="Times New Roman" w:eastAsia="Times New Roman" w:cs="Times New Roman"/>
                <w:b w:val="0"/>
                <w:bCs w:val="0"/>
                <w:color w:val="auto"/>
                <w:sz w:val="17"/>
                <w:szCs w:val="17"/>
                <w:lang w:val="en-US" w:eastAsia="zh-CN" w:bidi="en-US"/>
              </w:rPr>
              <w:t>］</w:t>
            </w:r>
            <w:r>
              <w:rPr>
                <w:b w:val="0"/>
                <w:bCs w:val="0"/>
                <w:color w:val="auto"/>
              </w:rPr>
              <w:t>铁路、城市轨道交通</w:t>
            </w:r>
            <w:r>
              <w:rPr>
                <w:rFonts w:hint="eastAsia"/>
                <w:b w:val="0"/>
                <w:bCs w:val="0"/>
                <w:color w:val="auto"/>
                <w:lang w:eastAsia="zh-CN"/>
              </w:rPr>
              <w:t>、港口码头</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eastAsia="zh-CN"/>
              </w:rPr>
            </w:pPr>
            <w:r>
              <w:rPr>
                <w:b w:val="0"/>
                <w:bCs w:val="0"/>
                <w:color w:val="auto"/>
              </w:rPr>
              <w:t>城市轨道交通牵引站、城市轨道交通换乘站、城市轨道交通普通客运站</w:t>
            </w:r>
            <w:r>
              <w:rPr>
                <w:rFonts w:hint="eastAsia"/>
                <w:b w:val="0"/>
                <w:bCs w:val="0"/>
                <w:color w:val="auto"/>
                <w:lang w:eastAsia="zh-CN"/>
              </w:rPr>
              <w:t>、特大型港口、大型港口、中型港口、小型港口</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shd w:val="clear" w:color="auto" w:fill="auto"/>
              <w:kinsoku/>
              <w:wordWrap/>
              <w:overflowPunct/>
              <w:topLinePunct w:val="0"/>
              <w:autoSpaceDE/>
              <w:autoSpaceDN/>
              <w:bidi w:val="0"/>
              <w:adjustRightInd/>
              <w:snapToGrid/>
              <w:spacing w:line="300" w:lineRule="exact"/>
              <w:jc w:val="left"/>
              <w:textAlignment w:val="auto"/>
              <w:rPr>
                <w:rFonts w:hint="eastAsia"/>
                <w:b w:val="0"/>
                <w:bCs w:val="0"/>
                <w:color w:val="auto"/>
                <w:lang w:eastAsia="zh-CN"/>
              </w:rPr>
            </w:pPr>
            <w:r>
              <w:rPr>
                <w:rFonts w:hint="eastAsia"/>
                <w:b w:val="0"/>
                <w:bCs w:val="0"/>
                <w:color w:val="auto"/>
                <w:lang w:eastAsia="zh-CN"/>
              </w:rPr>
              <w:t>可能造成安全事故和大的社会影响</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shd w:val="clear" w:color="auto" w:fill="auto"/>
              <w:kinsoku/>
              <w:wordWrap/>
              <w:overflowPunct/>
              <w:topLinePunct w:val="0"/>
              <w:autoSpaceDE/>
              <w:autoSpaceDN/>
              <w:bidi w:val="0"/>
              <w:adjustRightInd/>
              <w:snapToGrid/>
              <w:spacing w:line="300" w:lineRule="exact"/>
              <w:jc w:val="center"/>
              <w:textAlignment w:val="auto"/>
              <w:rPr>
                <w:rFonts w:hint="eastAsia"/>
                <w:b w:val="0"/>
                <w:bCs w:val="0"/>
                <w:color w:val="auto"/>
                <w:lang w:eastAsia="zh-CN"/>
              </w:rPr>
            </w:pPr>
            <w:r>
              <w:rPr>
                <w:rFonts w:hint="eastAsia"/>
                <w:b w:val="0"/>
                <w:bCs w:val="0"/>
                <w:color w:val="auto"/>
                <w:lang w:eastAsia="zh-CN"/>
              </w:rPr>
              <w:t>市交通运输局</w:t>
            </w:r>
          </w:p>
        </w:tc>
      </w:tr>
      <w:tr>
        <w:tblPrEx>
          <w:tblCellMar>
            <w:top w:w="0" w:type="dxa"/>
            <w:left w:w="10" w:type="dxa"/>
            <w:bottom w:w="0" w:type="dxa"/>
            <w:right w:w="10" w:type="dxa"/>
          </w:tblCellMar>
        </w:tblPrEx>
        <w:trPr>
          <w:trHeight w:val="826"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en-US" w:bidi="en-US"/>
              </w:rPr>
              <w:t>［B7］</w:t>
            </w:r>
            <w:r>
              <w:rPr>
                <w:b w:val="0"/>
                <w:bCs w:val="0"/>
                <w:color w:val="auto"/>
              </w:rPr>
              <w:t>医疗卫生</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三级医院</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lang w:val="en-US" w:eastAsia="zh-CN"/>
              </w:rPr>
            </w:pPr>
            <w:r>
              <w:rPr>
                <w:rFonts w:hint="eastAsia"/>
                <w:b w:val="0"/>
                <w:bCs w:val="0"/>
                <w:color w:val="auto"/>
                <w:lang w:val="en-US" w:eastAsia="zh-CN"/>
              </w:rPr>
              <w:t>可能引发人身伤亡、造成社会影响和公共秩序混乱</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市卫生健康委</w:t>
            </w:r>
          </w:p>
        </w:tc>
      </w:tr>
      <w:tr>
        <w:tblPrEx>
          <w:tblCellMar>
            <w:top w:w="0" w:type="dxa"/>
            <w:left w:w="10" w:type="dxa"/>
            <w:bottom w:w="0" w:type="dxa"/>
            <w:right w:w="10" w:type="dxa"/>
          </w:tblCellMar>
        </w:tblPrEx>
        <w:trPr>
          <w:trHeight w:val="795"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zh-CN" w:bidi="en-US"/>
              </w:rPr>
              <w:t>［B8.1］</w:t>
            </w:r>
            <w:r>
              <w:rPr>
                <w:b w:val="0"/>
                <w:bCs w:val="0"/>
                <w:color w:val="auto"/>
              </w:rPr>
              <w:t>五星级以上宾馆饭店</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特殊定点涉外接待的宾馆、饭店及其他五星级及以上高等级宾馆</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lang w:val="en-US" w:eastAsia="zh-CN"/>
              </w:rPr>
            </w:pPr>
            <w:r>
              <w:rPr>
                <w:rFonts w:hint="eastAsia"/>
                <w:b w:val="0"/>
                <w:bCs w:val="0"/>
                <w:color w:val="auto"/>
                <w:lang w:val="en-US" w:eastAsia="zh-CN"/>
              </w:rPr>
              <w:t>可能造成政治影响和社会公共秩序混乱</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市文化旅游和广播电视局</w:t>
            </w:r>
          </w:p>
        </w:tc>
      </w:tr>
      <w:tr>
        <w:tblPrEx>
          <w:tblCellMar>
            <w:top w:w="0" w:type="dxa"/>
            <w:left w:w="10" w:type="dxa"/>
            <w:bottom w:w="0" w:type="dxa"/>
            <w:right w:w="10" w:type="dxa"/>
          </w:tblCellMar>
        </w:tblPrEx>
        <w:trPr>
          <w:trHeight w:val="826"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zh-CN" w:bidi="en-US"/>
              </w:rPr>
              <w:t>［B8.2］</w:t>
            </w:r>
            <w:r>
              <w:rPr>
                <w:b w:val="0"/>
                <w:bCs w:val="0"/>
                <w:color w:val="auto"/>
              </w:rPr>
              <w:t>高层商业办公楼</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高度超过</w:t>
            </w:r>
            <w:r>
              <w:rPr>
                <w:rFonts w:ascii="Times New Roman" w:hAnsi="Times New Roman" w:eastAsia="Times New Roman" w:cs="Times New Roman"/>
                <w:b w:val="0"/>
                <w:bCs w:val="0"/>
                <w:color w:val="auto"/>
                <w:sz w:val="17"/>
                <w:szCs w:val="17"/>
              </w:rPr>
              <w:t>100</w:t>
            </w:r>
            <w:r>
              <w:rPr>
                <w:rFonts w:ascii="Times New Roman" w:hAnsi="Times New Roman" w:eastAsia="Times New Roman" w:cs="Times New Roman"/>
                <w:b w:val="0"/>
                <w:bCs w:val="0"/>
                <w:color w:val="auto"/>
                <w:sz w:val="17"/>
                <w:szCs w:val="17"/>
                <w:lang w:val="en-US" w:eastAsia="zh-CN" w:bidi="en-US"/>
              </w:rPr>
              <w:t>m</w:t>
            </w:r>
            <w:r>
              <w:rPr>
                <w:b w:val="0"/>
                <w:bCs w:val="0"/>
                <w:color w:val="auto"/>
              </w:rPr>
              <w:t>的特别重要的购物中心</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宋体"/>
                <w:b w:val="0"/>
                <w:bCs w:val="0"/>
                <w:color w:val="auto"/>
                <w:lang w:eastAsia="zh-CN"/>
              </w:rPr>
            </w:pPr>
            <w:r>
              <w:rPr>
                <w:rFonts w:hint="eastAsia"/>
                <w:b w:val="0"/>
                <w:bCs w:val="0"/>
                <w:color w:val="auto"/>
                <w:lang w:eastAsia="zh-CN"/>
              </w:rPr>
              <w:t>可能引发人身伤亡和社会公共秩序混乱</w:t>
            </w:r>
          </w:p>
        </w:tc>
        <w:tc>
          <w:tcPr>
            <w:tcW w:w="1615"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宋体"/>
                <w:b w:val="0"/>
                <w:bCs w:val="0"/>
                <w:color w:val="auto"/>
                <w:lang w:eastAsia="zh-CN"/>
              </w:rPr>
            </w:pPr>
            <w:r>
              <w:rPr>
                <w:rFonts w:hint="eastAsia"/>
                <w:b w:val="0"/>
                <w:bCs w:val="0"/>
                <w:color w:val="auto"/>
                <w:lang w:eastAsia="zh-CN"/>
              </w:rPr>
              <w:t>市商务局</w:t>
            </w:r>
          </w:p>
        </w:tc>
      </w:tr>
      <w:tr>
        <w:tblPrEx>
          <w:tblCellMar>
            <w:top w:w="0" w:type="dxa"/>
            <w:left w:w="10" w:type="dxa"/>
            <w:bottom w:w="0" w:type="dxa"/>
            <w:right w:w="10" w:type="dxa"/>
          </w:tblCellMar>
        </w:tblPrEx>
        <w:trPr>
          <w:trHeight w:val="795"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zh-CN" w:bidi="en-US"/>
              </w:rPr>
              <w:t>［B8.3］</w:t>
            </w:r>
            <w:r>
              <w:rPr>
                <w:b w:val="0"/>
                <w:bCs w:val="0"/>
                <w:color w:val="auto"/>
              </w:rPr>
              <w:t>超市、购物中心</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营业面积在</w:t>
            </w:r>
            <w:r>
              <w:rPr>
                <w:rFonts w:ascii="Times New Roman" w:hAnsi="Times New Roman" w:eastAsia="Times New Roman" w:cs="Times New Roman"/>
                <w:b w:val="0"/>
                <w:bCs w:val="0"/>
                <w:color w:val="auto"/>
                <w:sz w:val="17"/>
                <w:szCs w:val="17"/>
              </w:rPr>
              <w:t xml:space="preserve">6000 </w:t>
            </w:r>
            <w:r>
              <w:rPr>
                <w:rFonts w:ascii="Times New Roman" w:hAnsi="Times New Roman" w:eastAsia="Times New Roman" w:cs="Times New Roman"/>
                <w:b w:val="0"/>
                <w:bCs w:val="0"/>
                <w:color w:val="auto"/>
                <w:sz w:val="17"/>
                <w:szCs w:val="17"/>
                <w:lang w:val="en-US" w:eastAsia="zh-CN" w:bidi="en-US"/>
              </w:rPr>
              <w:t>m</w:t>
            </w:r>
            <w:r>
              <w:rPr>
                <w:rFonts w:ascii="Times New Roman" w:hAnsi="Times New Roman" w:eastAsia="Times New Roman" w:cs="Times New Roman"/>
                <w:b w:val="0"/>
                <w:bCs w:val="0"/>
                <w:color w:val="auto"/>
                <w:sz w:val="17"/>
                <w:szCs w:val="17"/>
                <w:vertAlign w:val="superscript"/>
                <w:lang w:val="en-US" w:eastAsia="zh-CN" w:bidi="en-US"/>
              </w:rPr>
              <w:t>2</w:t>
            </w:r>
            <w:r>
              <w:rPr>
                <w:b w:val="0"/>
                <w:bCs w:val="0"/>
                <w:color w:val="auto"/>
              </w:rPr>
              <w:t>以上的多层或地下大型超市及大型购物中心</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hint="eastAsia"/>
                <w:b w:val="0"/>
                <w:bCs w:val="0"/>
                <w:color w:val="auto"/>
                <w:lang w:eastAsia="zh-CN"/>
              </w:rPr>
              <w:t>可能引发人身伤亡和社会公共秩序混乱</w:t>
            </w:r>
          </w:p>
        </w:tc>
        <w:tc>
          <w:tcPr>
            <w:tcW w:w="1615"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b w:val="0"/>
                <w:bCs w:val="0"/>
                <w:color w:val="auto"/>
              </w:rPr>
            </w:pPr>
          </w:p>
        </w:tc>
      </w:tr>
      <w:tr>
        <w:tblPrEx>
          <w:tblCellMar>
            <w:top w:w="0" w:type="dxa"/>
            <w:left w:w="10" w:type="dxa"/>
            <w:bottom w:w="0" w:type="dxa"/>
            <w:right w:w="10" w:type="dxa"/>
          </w:tblCellMar>
        </w:tblPrEx>
        <w:trPr>
          <w:trHeight w:val="2439" w:hRule="exact"/>
        </w:trPr>
        <w:tc>
          <w:tcPr>
            <w:tcW w:w="633" w:type="dxa"/>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p>
        </w:tc>
        <w:tc>
          <w:tcPr>
            <w:tcW w:w="15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b w:val="0"/>
                <w:bCs w:val="0"/>
                <w:color w:val="auto"/>
              </w:rPr>
            </w:pPr>
            <w:r>
              <w:rPr>
                <w:rFonts w:ascii="Times New Roman" w:hAnsi="Times New Roman" w:eastAsia="Times New Roman" w:cs="Times New Roman"/>
                <w:b w:val="0"/>
                <w:bCs w:val="0"/>
                <w:color w:val="auto"/>
                <w:sz w:val="17"/>
                <w:szCs w:val="17"/>
                <w:lang w:val="en-US" w:eastAsia="zh-CN" w:bidi="en-US"/>
              </w:rPr>
              <w:t>［B</w:t>
            </w:r>
            <w:r>
              <w:rPr>
                <w:rFonts w:hint="eastAsia" w:ascii="Times New Roman" w:hAnsi="Times New Roman" w:cs="Times New Roman"/>
                <w:b w:val="0"/>
                <w:bCs w:val="0"/>
                <w:color w:val="auto"/>
                <w:sz w:val="17"/>
                <w:szCs w:val="17"/>
                <w:lang w:val="en-US" w:eastAsia="zh-CN" w:bidi="en-US"/>
              </w:rPr>
              <w:t>8.</w:t>
            </w:r>
            <w:r>
              <w:rPr>
                <w:rFonts w:ascii="Times New Roman" w:hAnsi="Times New Roman" w:eastAsia="Times New Roman" w:cs="Times New Roman"/>
                <w:b w:val="0"/>
                <w:bCs w:val="0"/>
                <w:color w:val="auto"/>
                <w:sz w:val="17"/>
                <w:szCs w:val="17"/>
                <w:lang w:val="en-US" w:eastAsia="zh-CN" w:bidi="en-US"/>
              </w:rPr>
              <w:t>4］</w:t>
            </w:r>
            <w:r>
              <w:rPr>
                <w:b w:val="0"/>
                <w:bCs w:val="0"/>
                <w:color w:val="auto"/>
              </w:rPr>
              <w:t>体育馆场馆、大型展览中心及其他重要场馆</w:t>
            </w:r>
          </w:p>
        </w:tc>
        <w:tc>
          <w:tcPr>
            <w:tcW w:w="26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textAlignment w:val="auto"/>
              <w:rPr>
                <w:b w:val="0"/>
                <w:bCs w:val="0"/>
                <w:color w:val="auto"/>
              </w:rPr>
            </w:pPr>
            <w:r>
              <w:rPr>
                <w:b w:val="0"/>
                <w:bCs w:val="0"/>
                <w:color w:val="auto"/>
              </w:rPr>
              <w:t>国家级承担重大国事活动的会堂、国家级大型体育中心；举办世界级、全国性或单项国际比赛；举办地区性和全国单项比赛、举办地方性、群众性运动会展会；承担国际或国家级大型展览的会展中心；承担地区级展览的会展中心</w:t>
            </w:r>
          </w:p>
        </w:tc>
        <w:tc>
          <w:tcPr>
            <w:tcW w:w="27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val="0"/>
                <w:bCs w:val="0"/>
                <w:color w:val="auto"/>
                <w:lang w:val="en-US" w:eastAsia="zh-CN"/>
              </w:rPr>
            </w:pPr>
            <w:r>
              <w:rPr>
                <w:rFonts w:hint="eastAsia"/>
                <w:b w:val="0"/>
                <w:bCs w:val="0"/>
                <w:color w:val="auto"/>
                <w:lang w:val="en-US" w:eastAsia="zh-CN"/>
              </w:rPr>
              <w:t>可能引发人身伤亡、可能造成重大政治影响和社会公共秩序混乱</w:t>
            </w:r>
          </w:p>
        </w:tc>
        <w:tc>
          <w:tcPr>
            <w:tcW w:w="16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市文化旅游和广播电视局</w:t>
            </w:r>
          </w:p>
        </w:tc>
      </w:tr>
      <w:tr>
        <w:tblPrEx>
          <w:tblCellMar>
            <w:top w:w="0" w:type="dxa"/>
            <w:left w:w="10" w:type="dxa"/>
            <w:bottom w:w="0" w:type="dxa"/>
            <w:right w:w="10" w:type="dxa"/>
          </w:tblCellMar>
        </w:tblPrEx>
        <w:trPr>
          <w:trHeight w:val="1390" w:hRule="exact"/>
        </w:trPr>
        <w:tc>
          <w:tcPr>
            <w:tcW w:w="9198" w:type="dxa"/>
            <w:gridSpan w:val="5"/>
            <w:tcBorders>
              <w:top w:val="single" w:color="auto" w:sz="4" w:space="0"/>
              <w:left w:val="nil"/>
              <w:bottom w:val="nil"/>
              <w:right w:val="nil"/>
            </w:tcBorders>
            <w:shd w:val="clear" w:color="auto" w:fill="FFFFFF"/>
            <w:noWrap w:val="0"/>
            <w:vAlign w:val="center"/>
          </w:tcPr>
          <w:p>
            <w:pPr>
              <w:pStyle w:val="14"/>
              <w:keepNext w:val="0"/>
              <w:keepLines w:val="0"/>
              <w:pageBreakBefore w:val="0"/>
              <w:widowControl w:val="0"/>
              <w:kinsoku/>
              <w:wordWrap/>
              <w:overflowPunct/>
              <w:topLinePunct w:val="0"/>
              <w:autoSpaceDE/>
              <w:autoSpaceDN/>
              <w:bidi w:val="0"/>
              <w:adjustRightInd/>
              <w:snapToGrid/>
              <w:spacing w:line="300" w:lineRule="exact"/>
              <w:ind w:firstLine="480"/>
              <w:jc w:val="left"/>
              <w:textAlignment w:val="auto"/>
              <w:rPr>
                <w:b w:val="0"/>
                <w:bCs w:val="0"/>
                <w:color w:val="auto"/>
              </w:rPr>
            </w:pPr>
            <w:r>
              <w:rPr>
                <w:b w:val="0"/>
                <w:bCs w:val="0"/>
                <w:color w:val="auto"/>
              </w:rPr>
              <w:t>注</w:t>
            </w:r>
            <w:r>
              <w:rPr>
                <w:rFonts w:hint="eastAsia"/>
                <w:b w:val="0"/>
                <w:bCs w:val="0"/>
                <w:color w:val="auto"/>
                <w:lang w:val="en-US" w:eastAsia="zh-CN"/>
              </w:rPr>
              <w:t xml:space="preserve"> </w:t>
            </w:r>
            <w:r>
              <w:rPr>
                <w:rFonts w:hint="eastAsia" w:ascii="Times New Roman" w:hAnsi="Times New Roman" w:eastAsia="宋体" w:cs="Times New Roman"/>
                <w:b w:val="0"/>
                <w:bCs w:val="0"/>
                <w:color w:val="auto"/>
                <w:sz w:val="17"/>
                <w:szCs w:val="17"/>
                <w:lang w:val="en-US" w:eastAsia="zh-CN"/>
              </w:rPr>
              <w:t>1.此表依据《重要电力用户供电电源及自备应急电源配置技术规范》（GB/T29328-2018）整理</w:t>
            </w:r>
          </w:p>
          <w:p>
            <w:pPr>
              <w:pStyle w:val="14"/>
              <w:keepNext w:val="0"/>
              <w:keepLines w:val="0"/>
              <w:pageBreakBefore w:val="0"/>
              <w:widowControl w:val="0"/>
              <w:kinsoku/>
              <w:wordWrap/>
              <w:overflowPunct/>
              <w:topLinePunct w:val="0"/>
              <w:autoSpaceDE/>
              <w:autoSpaceDN/>
              <w:bidi w:val="0"/>
              <w:adjustRightInd/>
              <w:snapToGrid/>
              <w:spacing w:line="300" w:lineRule="exact"/>
              <w:ind w:firstLine="480"/>
              <w:jc w:val="left"/>
              <w:textAlignment w:val="auto"/>
              <w:rPr>
                <w:b w:val="0"/>
                <w:bCs w:val="0"/>
                <w:color w:val="auto"/>
              </w:rPr>
            </w:pPr>
            <w:r>
              <w:rPr>
                <w:rFonts w:hint="eastAsia"/>
                <w:b w:val="0"/>
                <w:bCs w:val="0"/>
                <w:color w:val="auto"/>
                <w:lang w:val="en-US" w:eastAsia="zh-CN"/>
              </w:rPr>
              <w:t xml:space="preserve">   2.</w:t>
            </w:r>
            <w:r>
              <w:rPr>
                <w:b w:val="0"/>
                <w:bCs w:val="0"/>
                <w:color w:val="auto"/>
              </w:rPr>
              <w:t>本范围未</w:t>
            </w:r>
            <w:r>
              <w:rPr>
                <w:rFonts w:hint="eastAsia"/>
                <w:b w:val="0"/>
                <w:bCs w:val="0"/>
                <w:color w:val="auto"/>
                <w:lang w:eastAsia="zh-CN"/>
              </w:rPr>
              <w:t>含盖</w:t>
            </w:r>
            <w:r>
              <w:rPr>
                <w:b w:val="0"/>
                <w:bCs w:val="0"/>
                <w:color w:val="auto"/>
              </w:rPr>
              <w:t>全部行业，其他行业可参考执行</w:t>
            </w:r>
          </w:p>
          <w:p>
            <w:pPr>
              <w:pStyle w:val="14"/>
              <w:keepNext w:val="0"/>
              <w:keepLines w:val="0"/>
              <w:pageBreakBefore w:val="0"/>
              <w:widowControl w:val="0"/>
              <w:kinsoku/>
              <w:wordWrap/>
              <w:overflowPunct/>
              <w:topLinePunct w:val="0"/>
              <w:autoSpaceDE/>
              <w:autoSpaceDN/>
              <w:bidi w:val="0"/>
              <w:adjustRightInd/>
              <w:snapToGrid/>
              <w:spacing w:line="300" w:lineRule="exact"/>
              <w:ind w:firstLine="725" w:firstLineChars="427"/>
              <w:jc w:val="left"/>
              <w:textAlignment w:val="auto"/>
              <w:rPr>
                <w:b w:val="0"/>
                <w:bCs w:val="0"/>
                <w:color w:val="auto"/>
              </w:rPr>
            </w:pPr>
            <w:r>
              <w:rPr>
                <w:rFonts w:hint="eastAsia" w:ascii="Times New Roman" w:hAnsi="Times New Roman" w:eastAsia="宋体" w:cs="Times New Roman"/>
                <w:b w:val="0"/>
                <w:bCs w:val="0"/>
                <w:color w:val="auto"/>
                <w:sz w:val="17"/>
                <w:szCs w:val="17"/>
                <w:lang w:val="en-US" w:eastAsia="zh-CN"/>
              </w:rPr>
              <w:t>3.</w:t>
            </w:r>
            <w:r>
              <w:rPr>
                <w:b w:val="0"/>
                <w:bCs w:val="0"/>
                <w:color w:val="auto"/>
              </w:rPr>
              <w:t>不同地区重要电力用户范围可参照各地区发展情况确定</w:t>
            </w: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p>
            <w:pPr>
              <w:pStyle w:val="14"/>
              <w:keepNext w:val="0"/>
              <w:keepLines w:val="0"/>
              <w:pageBreakBefore w:val="0"/>
              <w:widowControl w:val="0"/>
              <w:kinsoku/>
              <w:wordWrap/>
              <w:overflowPunct/>
              <w:topLinePunct w:val="0"/>
              <w:autoSpaceDE/>
              <w:autoSpaceDN/>
              <w:bidi w:val="0"/>
              <w:adjustRightInd/>
              <w:snapToGrid/>
              <w:spacing w:line="300" w:lineRule="exact"/>
              <w:ind w:firstLine="683" w:firstLineChars="427"/>
              <w:jc w:val="left"/>
              <w:textAlignment w:val="auto"/>
              <w:rPr>
                <w:b w:val="0"/>
                <w:bCs w:val="0"/>
                <w:color w:val="auto"/>
              </w:rPr>
            </w:pPr>
          </w:p>
        </w:tc>
      </w:tr>
      <w:bookmarkEnd w:id="0"/>
      <w:bookmarkEnd w:id="1"/>
      <w:bookmarkEnd w:id="2"/>
    </w:tbl>
    <w:p>
      <w:pPr>
        <w:keepNext w:val="0"/>
        <w:keepLines w:val="0"/>
        <w:pageBreakBefore w:val="0"/>
        <w:numPr>
          <w:ilvl w:val="0"/>
          <w:numId w:val="0"/>
        </w:numPr>
        <w:wordWrap/>
        <w:topLinePunct w:val="0"/>
        <w:autoSpaceDE/>
        <w:autoSpaceDN/>
        <w:bidi w:val="0"/>
        <w:adjustRightInd/>
        <w:snapToGrid w:val="0"/>
        <w:spacing w:line="600" w:lineRule="exact"/>
        <w:ind w:firstLine="640" w:firstLineChars="200"/>
        <w:textAlignment w:val="baseline"/>
        <w:rPr>
          <w:rFonts w:hint="eastAsia" w:ascii="仿宋_GB2312" w:hAnsi="仿宋_GB2312" w:eastAsia="仿宋_GB2312" w:cs="仿宋_GB2312"/>
          <w:b w:val="0"/>
          <w:bCs w:val="0"/>
          <w:color w:val="auto"/>
          <w:sz w:val="32"/>
          <w:szCs w:val="32"/>
          <w:highlight w:val="none"/>
          <w:lang w:val="en-US" w:eastAsia="zh-CN"/>
        </w:rPr>
      </w:pPr>
    </w:p>
    <w:p>
      <w:pPr>
        <w:spacing w:after="0" w:line="360" w:lineRule="auto"/>
        <w:rPr>
          <w:rFonts w:ascii="仿宋" w:hAnsi="仿宋" w:eastAsia="仿宋"/>
          <w:sz w:val="32"/>
          <w:szCs w:val="32"/>
        </w:rPr>
      </w:pPr>
    </w:p>
    <w:p>
      <w:pPr>
        <w:spacing w:after="0" w:line="360" w:lineRule="auto"/>
        <w:rPr>
          <w:rFonts w:ascii="仿宋" w:hAnsi="仿宋" w:eastAsia="仿宋"/>
          <w:sz w:val="32"/>
          <w:szCs w:val="32"/>
        </w:rPr>
      </w:pPr>
    </w:p>
    <w:sectPr>
      <w:headerReference r:id="rId7" w:type="default"/>
      <w:footerReference r:id="rId8" w:type="default"/>
      <w:pgSz w:w="11906" w:h="16838"/>
      <w:pgMar w:top="2098" w:right="1474" w:bottom="1985"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9851390</wp:posOffset>
              </wp:positionV>
              <wp:extent cx="33655" cy="69850"/>
              <wp:effectExtent l="0" t="0" r="0" b="0"/>
              <wp:wrapNone/>
              <wp:docPr id="21" name="Shape 21"/>
              <wp:cNvGraphicFramePr/>
              <a:graphic xmlns:a="http://schemas.openxmlformats.org/drawingml/2006/main">
                <a:graphicData uri="http://schemas.microsoft.com/office/word/2010/wordprocessingShape">
                  <wps:wsp>
                    <wps:cNvSpPr txBox="1"/>
                    <wps:spPr>
                      <a:xfrm>
                        <a:off x="0" y="0"/>
                        <a:ext cx="33655" cy="69850"/>
                      </a:xfrm>
                      <a:prstGeom prst="rect">
                        <a:avLst/>
                      </a:prstGeom>
                      <a:noFill/>
                      <a:ln>
                        <a:noFill/>
                      </a:ln>
                      <a:effectLst/>
                    </wps:spPr>
                    <wps:txbx>
                      <w:txbxContent>
                        <w:p>
                          <w:pPr>
                            <w:pStyle w:val="15"/>
                            <w:jc w:val="left"/>
                            <w:rPr>
                              <w:rFonts w:hint="default" w:ascii="宋体" w:hAnsi="宋体" w:eastAsia="宋体" w:cs="宋体"/>
                              <w:sz w:val="28"/>
                              <w:szCs w:val="28"/>
                              <w:lang w:val="en-US" w:eastAsia="zh-CN"/>
                            </w:rPr>
                          </w:pPr>
                        </w:p>
                      </w:txbxContent>
                    </wps:txbx>
                    <wps:bodyPr wrap="none" lIns="0" tIns="0" rIns="0" bIns="0">
                      <a:spAutoFit/>
                    </wps:bodyPr>
                  </wps:wsp>
                </a:graphicData>
              </a:graphic>
            </wp:anchor>
          </w:drawing>
        </mc:Choice>
        <mc:Fallback>
          <w:pict>
            <v:shape id="Shape 21" o:spid="_x0000_s1026" o:spt="202" type="#_x0000_t202" style="position:absolute;left:0pt;margin-top:775.7pt;height:5.5pt;width:2.65pt;mso-position-horizontal:center;mso-position-horizontal-relative:margin;mso-position-vertical-relative:page;mso-wrap-style:none;z-index:251661312;mso-width-relative:page;mso-height-relative:page;" filled="f" stroked="f" coordsize="21600,21600" o:gfxdata="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J5bji3VAAAACAEAAA8AAAAAAAAAAQAg&#10;AAAAIgAAAGRycy9kb3ducmV2LnhtbFBLAQIUABQAAAAIAIdO4kCFMHZ5nwEAAEcDAAAOAAAAAAAA&#10;AAEAIAAAACQBAABkcnMvZTJvRG9jLnhtbFBLBQYAAAAABgAGAFkBAAA1BQAAAAA=&#10;">
              <v:fill on="f" focussize="0,0"/>
              <v:stroke on="f"/>
              <v:imagedata o:title=""/>
              <o:lock v:ext="edit" aspectratio="f"/>
              <v:textbox inset="0mm,0mm,0mm,0mm" style="mso-fit-shape-to-text:t;">
                <w:txbxContent>
                  <w:p>
                    <w:pPr>
                      <w:pStyle w:val="15"/>
                      <w:jc w:val="left"/>
                      <w:rPr>
                        <w:rFonts w:hint="default" w:ascii="宋体" w:hAnsi="宋体" w:eastAsia="宋体" w:cs="宋体"/>
                        <w:sz w:val="28"/>
                        <w:szCs w:val="28"/>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0288" behindDoc="1" locked="0" layoutInCell="1" allowOverlap="1">
              <wp:simplePos x="0" y="0"/>
              <wp:positionH relativeFrom="page">
                <wp:posOffset>6541135</wp:posOffset>
              </wp:positionH>
              <wp:positionV relativeFrom="page">
                <wp:posOffset>9851390</wp:posOffset>
              </wp:positionV>
              <wp:extent cx="33655" cy="69850"/>
              <wp:effectExtent l="0" t="0" r="0" b="0"/>
              <wp:wrapNone/>
              <wp:docPr id="25" name="Shape 25"/>
              <wp:cNvGraphicFramePr/>
              <a:graphic xmlns:a="http://schemas.openxmlformats.org/drawingml/2006/main">
                <a:graphicData uri="http://schemas.microsoft.com/office/word/2010/wordprocessingShape">
                  <wps:wsp>
                    <wps:cNvSpPr txBox="1"/>
                    <wps:spPr>
                      <a:xfrm>
                        <a:off x="0" y="0"/>
                        <a:ext cx="33655" cy="69850"/>
                      </a:xfrm>
                      <a:prstGeom prst="rect">
                        <a:avLst/>
                      </a:prstGeom>
                      <a:noFill/>
                      <a:ln>
                        <a:noFill/>
                      </a:ln>
                      <a:effectLst/>
                    </wps:spPr>
                    <wps:txbx>
                      <w:txbxContent>
                        <w:p>
                          <w:pPr>
                            <w:pStyle w:val="15"/>
                            <w:jc w:val="left"/>
                            <w:rPr>
                              <w:sz w:val="17"/>
                              <w:szCs w:val="17"/>
                            </w:rPr>
                          </w:pPr>
                          <w:r>
                            <w:fldChar w:fldCharType="begin"/>
                          </w:r>
                          <w:r>
                            <w:instrText xml:space="preserve"> PAGE \* MERGEFORMAT </w:instrText>
                          </w:r>
                          <w:r>
                            <w:fldChar w:fldCharType="separate"/>
                          </w:r>
                          <w:r>
                            <w:rPr>
                              <w:rFonts w:ascii="Times New Roman" w:hAnsi="Times New Roman" w:eastAsia="Times New Roman"/>
                              <w:color w:val="000000"/>
                              <w:sz w:val="17"/>
                              <w:szCs w:val="17"/>
                              <w:lang w:val="zh-TW" w:eastAsia="zh-TW" w:bidi="zh-TW"/>
                            </w:rPr>
                            <w:t>#</w:t>
                          </w:r>
                          <w:r>
                            <w:rPr>
                              <w:rFonts w:ascii="Times New Roman" w:hAnsi="Times New Roman" w:eastAsia="Times New Roman"/>
                              <w:color w:val="000000"/>
                              <w:sz w:val="17"/>
                              <w:szCs w:val="17"/>
                              <w:lang w:val="zh-TW" w:eastAsia="zh-TW" w:bidi="zh-TW"/>
                            </w:rPr>
                            <w:fldChar w:fldCharType="end"/>
                          </w:r>
                        </w:p>
                      </w:txbxContent>
                    </wps:txbx>
                    <wps:bodyPr wrap="none" lIns="0" tIns="0" rIns="0" bIns="0">
                      <a:spAutoFit/>
                    </wps:bodyPr>
                  </wps:wsp>
                </a:graphicData>
              </a:graphic>
            </wp:anchor>
          </w:drawing>
        </mc:Choice>
        <mc:Fallback>
          <w:pict>
            <v:shape id="Shape 25" o:spid="_x0000_s1026" o:spt="202" type="#_x0000_t202" style="position:absolute;left:0pt;margin-left:515.05pt;margin-top:775.7pt;height:5.5pt;width:2.65pt;mso-position-horizontal-relative:page;mso-position-vertical-relative:page;mso-wrap-style:none;z-index:-251656192;mso-width-relative:page;mso-height-relative:page;" filled="f" stroked="f" coordsize="21600,21600" o:gfxdata="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DCxwENgAAAAPAQAADwAAAAAAAAAB&#10;ACAAAAAiAAAAZHJzL2Rvd25yZXYueG1sUEsBAhQAFAAAAAgAh07iQPyaGm6eAQAARwMAAA4AAAAA&#10;AAAAAQAgAAAAJwEAAGRycy9lMm9Eb2MueG1sUEsFBgAAAAAGAAYAWQEAADcFAAAAAA==&#10;">
              <v:fill on="f" focussize="0,0"/>
              <v:stroke on="f"/>
              <v:imagedata o:title=""/>
              <o:lock v:ext="edit" aspectratio="f"/>
              <v:textbox inset="0mm,0mm,0mm,0mm" style="mso-fit-shape-to-text:t;">
                <w:txbxContent>
                  <w:p>
                    <w:pPr>
                      <w:pStyle w:val="15"/>
                      <w:jc w:val="left"/>
                      <w:rPr>
                        <w:sz w:val="17"/>
                        <w:szCs w:val="17"/>
                      </w:rPr>
                    </w:pPr>
                    <w:r>
                      <w:fldChar w:fldCharType="begin"/>
                    </w:r>
                    <w:r>
                      <w:instrText xml:space="preserve"> PAGE \* MERGEFORMAT </w:instrText>
                    </w:r>
                    <w:r>
                      <w:fldChar w:fldCharType="separate"/>
                    </w:r>
                    <w:r>
                      <w:rPr>
                        <w:rFonts w:ascii="Times New Roman" w:hAnsi="Times New Roman" w:eastAsia="Times New Roman"/>
                        <w:color w:val="000000"/>
                        <w:sz w:val="17"/>
                        <w:szCs w:val="17"/>
                        <w:lang w:val="zh-TW" w:eastAsia="zh-TW" w:bidi="zh-TW"/>
                      </w:rPr>
                      <w:t>#</w:t>
                    </w:r>
                    <w:r>
                      <w:rPr>
                        <w:rFonts w:ascii="Times New Roman" w:hAnsi="Times New Roman" w:eastAsia="Times New Roman"/>
                        <w:color w:val="000000"/>
                        <w:sz w:val="17"/>
                        <w:szCs w:val="17"/>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heme="minorEastAsia" w:hAnsiTheme="minorEastAsia" w:eastAsiaTheme="minorEastAsia"/>
        <w:color w:val="1F497D" w:themeColor="text2"/>
        <w:sz w:val="32"/>
        <w:szCs w:val="32"/>
        <w14:textFill>
          <w14:solidFill>
            <w14:schemeClr w14:val="tx2"/>
          </w14:solidFill>
        </w14:textFill>
      </w:rPr>
    </w:pPr>
    <w:r>
      <w:rPr>
        <w:rFonts w:asciiTheme="minorEastAsia" w:hAnsiTheme="minorEastAsia" w:eastAsiaTheme="minorEastAsia"/>
        <w:color w:val="1F497D" w:themeColor="text2"/>
        <w:sz w:val="32"/>
        <w:szCs w:val="32"/>
        <w14:textFill>
          <w14:solidFill>
            <w14:schemeClr w14:val="tx2"/>
          </w14:solidFill>
        </w14:textFill>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-145415</wp:posOffset>
              </wp:positionV>
              <wp:extent cx="5585460" cy="0"/>
              <wp:effectExtent l="0" t="19050" r="15240" b="19050"/>
              <wp:wrapNone/>
              <wp:docPr id="1" name="自选图形 1"/>
              <wp:cNvGraphicFramePr/>
              <a:graphic xmlns:a="http://schemas.openxmlformats.org/drawingml/2006/main">
                <a:graphicData uri="http://schemas.microsoft.com/office/word/2010/wordprocessingShape">
                  <wps:wsp>
                    <wps:cNvCnPr/>
                    <wps:spPr>
                      <a:xfrm>
                        <a:off x="0" y="0"/>
                        <a:ext cx="5585460" cy="0"/>
                      </a:xfrm>
                      <a:prstGeom prst="straightConnector1">
                        <a:avLst/>
                      </a:prstGeom>
                      <a:ln w="38100" cap="flat" cmpd="sng">
                        <a:solidFill>
                          <a:srgbClr val="1F497D"/>
                        </a:solidFill>
                        <a:prstDash val="solid"/>
                        <a:headEnd type="none" w="med" len="med"/>
                        <a:tailEnd type="none" w="med" len="med"/>
                      </a:ln>
                    </wps:spPr>
                    <wps:bodyPr/>
                  </wps:wsp>
                </a:graphicData>
              </a:graphic>
            </wp:anchor>
          </w:drawing>
        </mc:Choice>
        <mc:Fallback>
          <w:pict>
            <v:shape id="自选图形 1" o:spid="_x0000_s1026" o:spt="32" type="#_x0000_t32" style="position:absolute;left:0pt;margin-left:0.4pt;margin-top:-11.45pt;height:0pt;width:439.8pt;z-index:251659264;mso-width-relative:page;mso-height-relative:page;" filled="f" stroked="t" coordsize="21600,21600" o:gfxdata="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F4U/bVAAAACAEAAA8AAAAA&#10;AAAAAQAgAAAAIgAAAGRycy9kb3ducmV2LnhtbFBLAQIUABQAAAAIAIdO4kCbtsw93gEAAJYDAAAO&#10;AAAAAAAAAAEAIAAAACQBAABkcnMvZTJvRG9jLnhtbFBLBQYAAAAABgAGAFkBAAB0BQAAAAA=&#10;">
              <v:fill on="f" focussize="0,0"/>
              <v:stroke weight="3pt" color="#1F497D" joinstyle="round"/>
              <v:imagedata o:title=""/>
              <o:lock v:ext="edit" aspectratio="f"/>
            </v:shape>
          </w:pict>
        </mc:Fallback>
      </mc:AlternateContent>
    </w:r>
    <w:r>
      <w:rPr>
        <w:rFonts w:hint="eastAsia" w:asciiTheme="minorEastAsia" w:hAnsiTheme="minorEastAsia" w:eastAsiaTheme="minorEastAsia"/>
        <w:color w:val="1F497D" w:themeColor="text2"/>
        <w:sz w:val="32"/>
        <w:szCs w:val="32"/>
        <w14:textFill>
          <w14:solidFill>
            <w14:schemeClr w14:val="tx2"/>
          </w14:solidFill>
        </w14:textFill>
      </w:rPr>
      <w:t>铁岭市人民政府发布</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59264" behindDoc="1" locked="0" layoutInCell="1" allowOverlap="1">
              <wp:simplePos x="0" y="0"/>
              <wp:positionH relativeFrom="page">
                <wp:posOffset>5648325</wp:posOffset>
              </wp:positionH>
              <wp:positionV relativeFrom="page">
                <wp:posOffset>878205</wp:posOffset>
              </wp:positionV>
              <wp:extent cx="1106170" cy="109855"/>
              <wp:effectExtent l="0" t="0" r="0" b="0"/>
              <wp:wrapNone/>
              <wp:docPr id="23" name="Shape 23"/>
              <wp:cNvGraphicFramePr/>
              <a:graphic xmlns:a="http://schemas.openxmlformats.org/drawingml/2006/main">
                <a:graphicData uri="http://schemas.microsoft.com/office/word/2010/wordprocessingShape">
                  <wps:wsp>
                    <wps:cNvSpPr txBox="1"/>
                    <wps:spPr>
                      <a:xfrm>
                        <a:off x="0" y="0"/>
                        <a:ext cx="1106170" cy="109855"/>
                      </a:xfrm>
                      <a:prstGeom prst="rect">
                        <a:avLst/>
                      </a:prstGeom>
                      <a:noFill/>
                      <a:ln>
                        <a:noFill/>
                      </a:ln>
                      <a:effectLst/>
                    </wps:spPr>
                    <wps:txbx>
                      <w:txbxContent>
                        <w:p>
                          <w:pPr>
                            <w:pStyle w:val="15"/>
                            <w:jc w:val="left"/>
                          </w:pPr>
                          <w:r>
                            <w:rPr>
                              <w:rFonts w:ascii="Times New Roman" w:hAnsi="Times New Roman" w:eastAsia="Times New Roman"/>
                              <w:color w:val="000000"/>
                              <w:lang w:eastAsia="en-US" w:bidi="en-US"/>
                            </w:rPr>
                            <w:t>GB/T 29328—2018</w:t>
                          </w:r>
                        </w:p>
                      </w:txbxContent>
                    </wps:txbx>
                    <wps:bodyPr wrap="none" lIns="0" tIns="0" rIns="0" bIns="0">
                      <a:spAutoFit/>
                    </wps:bodyPr>
                  </wps:wsp>
                </a:graphicData>
              </a:graphic>
            </wp:anchor>
          </w:drawing>
        </mc:Choice>
        <mc:Fallback>
          <w:pict>
            <v:shape id="Shape 23" o:spid="_x0000_s1026" o:spt="202" type="#_x0000_t202" style="position:absolute;left:0pt;margin-left:444.75pt;margin-top:69.15pt;height:8.65pt;width:87.1pt;mso-position-horizontal-relative:page;mso-position-vertical-relative:page;mso-wrap-style:none;z-index:-251657216;mso-width-relative:page;mso-height-relative:page;" filled="f" stroked="f" coordsize="21600,21600" o:gfxdata="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ceCJi2AAAAAwBAAAPAAAAAAAA&#10;AAEAIAAAACIAAABkcnMvZG93bnJldi54bWxQSwECFAAUAAAACACHTuJAyAz636ABAABKAwAADgAA&#10;AAAAAAABACAAAAAnAQAAZHJzL2Uyb0RvYy54bWxQSwUGAAAAAAYABgBZAQAAOQUAAAAA&#10;">
              <v:fill on="f" focussize="0,0"/>
              <v:stroke on="f"/>
              <v:imagedata o:title=""/>
              <o:lock v:ext="edit" aspectratio="f"/>
              <v:textbox inset="0mm,0mm,0mm,0mm" style="mso-fit-shape-to-text:t;">
                <w:txbxContent>
                  <w:p>
                    <w:pPr>
                      <w:pStyle w:val="15"/>
                      <w:jc w:val="left"/>
                    </w:pPr>
                    <w:r>
                      <w:rPr>
                        <w:rFonts w:ascii="Times New Roman" w:hAnsi="Times New Roman" w:eastAsia="Times New Roman"/>
                        <w:color w:val="000000"/>
                        <w:lang w:eastAsia="en-US" w:bidi="en-US"/>
                      </w:rPr>
                      <w:t>GB/T 29328—2018</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rFonts w:asciiTheme="majorEastAsia" w:hAnsiTheme="majorEastAsia" w:eastAsiaTheme="majorEastAsia"/>
        <w:sz w:val="32"/>
        <w:szCs w:val="32"/>
      </w:rPr>
    </w:pPr>
    <w:r>
      <w:rPr>
        <w:rFonts w:hint="eastAsia"/>
      </w:rPr>
      <w:drawing>
        <wp:inline distT="0" distB="0" distL="114300" distR="114300">
          <wp:extent cx="308610" cy="308610"/>
          <wp:effectExtent l="19050" t="0" r="0" b="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Theme="majorEastAsia" w:hAnsiTheme="majorEastAsia" w:eastAsiaTheme="majorEastAsia"/>
        <w:color w:val="1F497D" w:themeColor="text2"/>
        <w:sz w:val="32"/>
        <w:szCs w:val="32"/>
        <w14:textFill>
          <w14:solidFill>
            <w14:schemeClr w14:val="tx2"/>
          </w14:solidFill>
        </w14:textFill>
      </w:rPr>
      <w:t>铁岭市人民政府规章</w:t>
    </w:r>
  </w:p>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abstractNum w:abstractNumId="1">
    <w:nsid w:val="00000002"/>
    <w:multiLevelType w:val="singleLevel"/>
    <w:tmpl w:val="00000002"/>
    <w:lvl w:ilvl="0" w:tentative="0">
      <w:start w:val="1"/>
      <w:numFmt w:val="chineseCounting"/>
      <w:suff w:val="nothing"/>
      <w:lvlText w:val="（%1）"/>
      <w:lvlJc w:val="left"/>
      <w:rPr>
        <w:rFonts w:hint="eastAsia"/>
      </w:rPr>
    </w:lvl>
  </w:abstractNum>
  <w:abstractNum w:abstractNumId="2">
    <w:nsid w:val="00000003"/>
    <w:multiLevelType w:val="singleLevel"/>
    <w:tmpl w:val="00000003"/>
    <w:lvl w:ilvl="0" w:tentative="0">
      <w:start w:val="1"/>
      <w:numFmt w:val="chineseCounting"/>
      <w:suff w:val="nothing"/>
      <w:lvlText w:val="（%1）"/>
      <w:lvlJc w:val="left"/>
      <w:rPr>
        <w:rFonts w:hint="eastAsia"/>
      </w:rPr>
    </w:lvl>
  </w:abstractNum>
  <w:abstractNum w:abstractNumId="3">
    <w:nsid w:val="00000004"/>
    <w:multiLevelType w:val="singleLevel"/>
    <w:tmpl w:val="00000004"/>
    <w:lvl w:ilvl="0" w:tentative="0">
      <w:start w:val="1"/>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6"/>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2443AA"/>
    <w:rsid w:val="002F2273"/>
    <w:rsid w:val="00323B43"/>
    <w:rsid w:val="00350D9D"/>
    <w:rsid w:val="003D37D8"/>
    <w:rsid w:val="00424716"/>
    <w:rsid w:val="00426133"/>
    <w:rsid w:val="004358AB"/>
    <w:rsid w:val="004B0646"/>
    <w:rsid w:val="00514875"/>
    <w:rsid w:val="00563EC4"/>
    <w:rsid w:val="00660944"/>
    <w:rsid w:val="0068405C"/>
    <w:rsid w:val="00801C9C"/>
    <w:rsid w:val="008B7726"/>
    <w:rsid w:val="008C26FD"/>
    <w:rsid w:val="00982B91"/>
    <w:rsid w:val="009B1FB5"/>
    <w:rsid w:val="00BA3FC9"/>
    <w:rsid w:val="00BD0C37"/>
    <w:rsid w:val="00D31D50"/>
    <w:rsid w:val="00F91980"/>
    <w:rsid w:val="00FA137E"/>
    <w:rsid w:val="00FB5C51"/>
    <w:rsid w:val="091B1C04"/>
    <w:rsid w:val="0D8C021D"/>
    <w:rsid w:val="1DC66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qFormat/>
    <w:uiPriority w:val="0"/>
    <w:pPr>
      <w:widowControl w:val="0"/>
      <w:adjustRightInd/>
      <w:snapToGrid/>
      <w:spacing w:after="0"/>
    </w:pPr>
    <w:rPr>
      <w:rFonts w:asciiTheme="minorHAnsi" w:hAnsiTheme="minorHAnsi" w:eastAsiaTheme="minorEastAsia"/>
      <w:kern w:val="2"/>
      <w:sz w:val="21"/>
      <w:szCs w:val="24"/>
    </w:rPr>
  </w:style>
  <w:style w:type="paragraph" w:styleId="3">
    <w:name w:val="Balloon Text"/>
    <w:basedOn w:val="1"/>
    <w:link w:val="11"/>
    <w:semiHidden/>
    <w:unhideWhenUsed/>
    <w:qFormat/>
    <w:uiPriority w:val="99"/>
    <w:pPr>
      <w:spacing w:after="0"/>
    </w:pPr>
    <w:rPr>
      <w:sz w:val="18"/>
      <w:szCs w:val="18"/>
    </w:rPr>
  </w:style>
  <w:style w:type="paragraph" w:styleId="4">
    <w:name w:val="footer"/>
    <w:basedOn w:val="1"/>
    <w:link w:val="13"/>
    <w:unhideWhenUsed/>
    <w:uiPriority w:val="99"/>
    <w:pPr>
      <w:tabs>
        <w:tab w:val="center" w:pos="4153"/>
        <w:tab w:val="right" w:pos="8306"/>
      </w:tabs>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character" w:styleId="9">
    <w:name w:val="Strong"/>
    <w:basedOn w:val="8"/>
    <w:qFormat/>
    <w:uiPriority w:val="22"/>
    <w:rPr>
      <w:b/>
      <w:bCs/>
    </w:rPr>
  </w:style>
  <w:style w:type="character" w:customStyle="1" w:styleId="10">
    <w:name w:val="批注文字 Char"/>
    <w:basedOn w:val="8"/>
    <w:link w:val="2"/>
    <w:qFormat/>
    <w:uiPriority w:val="0"/>
    <w:rPr>
      <w:rFonts w:eastAsiaTheme="minorEastAsia"/>
      <w:kern w:val="2"/>
      <w:sz w:val="21"/>
      <w:szCs w:val="24"/>
    </w:rPr>
  </w:style>
  <w:style w:type="character" w:customStyle="1" w:styleId="11">
    <w:name w:val="批注框文本 Char"/>
    <w:basedOn w:val="8"/>
    <w:link w:val="3"/>
    <w:semiHidden/>
    <w:uiPriority w:val="99"/>
    <w:rPr>
      <w:rFonts w:ascii="Tahoma" w:hAnsi="Tahoma"/>
      <w:sz w:val="18"/>
      <w:szCs w:val="18"/>
    </w:rPr>
  </w:style>
  <w:style w:type="character" w:customStyle="1" w:styleId="12">
    <w:name w:val="页眉 Char"/>
    <w:basedOn w:val="8"/>
    <w:link w:val="5"/>
    <w:uiPriority w:val="99"/>
    <w:rPr>
      <w:rFonts w:ascii="Tahoma" w:hAnsi="Tahoma"/>
      <w:sz w:val="18"/>
      <w:szCs w:val="18"/>
    </w:rPr>
  </w:style>
  <w:style w:type="character" w:customStyle="1" w:styleId="13">
    <w:name w:val="页脚 Char"/>
    <w:basedOn w:val="8"/>
    <w:link w:val="4"/>
    <w:qFormat/>
    <w:uiPriority w:val="99"/>
    <w:rPr>
      <w:rFonts w:ascii="Tahoma" w:hAnsi="Tahoma"/>
      <w:sz w:val="18"/>
      <w:szCs w:val="18"/>
    </w:rPr>
  </w:style>
  <w:style w:type="paragraph" w:customStyle="1" w:styleId="14">
    <w:name w:val="Other|1"/>
    <w:basedOn w:val="1"/>
    <w:qFormat/>
    <w:uiPriority w:val="0"/>
    <w:pPr>
      <w:widowControl w:val="0"/>
      <w:shd w:val="clear" w:color="auto" w:fill="auto"/>
      <w:spacing w:line="283" w:lineRule="auto"/>
    </w:pPr>
    <w:rPr>
      <w:rFonts w:ascii="宋体" w:hAnsi="宋体" w:eastAsia="宋体" w:cs="宋体"/>
      <w:color w:val="4C4C4C"/>
      <w:sz w:val="16"/>
      <w:szCs w:val="16"/>
      <w:u w:val="none"/>
      <w:shd w:val="clear" w:color="auto" w:fill="auto"/>
      <w:lang w:val="zh-TW" w:eastAsia="zh-TW" w:bidi="zh-TW"/>
    </w:rPr>
  </w:style>
  <w:style w:type="paragraph" w:customStyle="1" w:styleId="15">
    <w:name w:val="Header or footer|2"/>
    <w:basedOn w:val="1"/>
    <w:qFormat/>
    <w:uiPriority w:val="0"/>
    <w:pPr>
      <w:widowControl w:val="0"/>
      <w:shd w:val="clear" w:color="auto" w:fill="auto"/>
    </w:pPr>
    <w:rPr>
      <w:rFonts w:ascii="Times New Roman" w:hAnsi="Times New Roman" w:eastAsia="宋体" w:cs="Times New Roman"/>
      <w:sz w:val="20"/>
      <w:szCs w:val="20"/>
      <w:u w:val="none"/>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1ADAEC-BF18-4F23-B685-5041156E6407}">
  <ds:schemaRefs/>
</ds:datastoreItem>
</file>

<file path=docProps/app.xml><?xml version="1.0" encoding="utf-8"?>
<Properties xmlns="http://schemas.openxmlformats.org/officeDocument/2006/extended-properties" xmlns:vt="http://schemas.openxmlformats.org/officeDocument/2006/docPropsVTypes">
  <Template>Normal</Template>
  <Pages>11</Pages>
  <Words>702</Words>
  <Characters>4005</Characters>
  <Lines>33</Lines>
  <Paragraphs>9</Paragraphs>
  <TotalTime>1</TotalTime>
  <ScaleCrop>false</ScaleCrop>
  <LinksUpToDate>false</LinksUpToDate>
  <CharactersWithSpaces>4698</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2021-11-16T07:02:00Z</dcterms:created>
  <dc:creator>Administrator</dc:creator>
  <cp:lastModifiedBy>中年少女</cp:lastModifiedBy>
  <cp:lastPrinted>2021-11-09T03:35:00Z</cp:lastPrinted>
  <dcterms:modified xsi:type="dcterms:W3CDTF">2024-12-31T03:02:57Z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