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40EB4">
      <w:pPr>
        <w:spacing w:line="560" w:lineRule="exact"/>
        <w:rPr>
          <w:rFonts w:ascii="仿宋_GB2312" w:eastAsia="仿宋_GB2312"/>
          <w:sz w:val="32"/>
          <w:szCs w:val="32"/>
        </w:rPr>
      </w:pPr>
    </w:p>
    <w:p w14:paraId="14A613E7">
      <w:pPr>
        <w:spacing w:line="560" w:lineRule="exact"/>
        <w:rPr>
          <w:rFonts w:ascii="仿宋_GB2312" w:eastAsia="仿宋_GB2312"/>
          <w:sz w:val="32"/>
          <w:szCs w:val="32"/>
        </w:rPr>
      </w:pPr>
    </w:p>
    <w:p w14:paraId="2069D574">
      <w:pPr>
        <w:spacing w:line="560" w:lineRule="exact"/>
        <w:rPr>
          <w:rFonts w:ascii="仿宋_GB2312" w:eastAsia="仿宋_GB2312"/>
          <w:sz w:val="32"/>
          <w:szCs w:val="32"/>
        </w:rPr>
      </w:pPr>
    </w:p>
    <w:p w14:paraId="1DB9CE2C">
      <w:pPr>
        <w:spacing w:line="560" w:lineRule="exact"/>
        <w:rPr>
          <w:rFonts w:ascii="仿宋_GB2312" w:eastAsia="仿宋_GB2312"/>
          <w:sz w:val="32"/>
          <w:szCs w:val="32"/>
        </w:rPr>
      </w:pPr>
    </w:p>
    <w:p w14:paraId="171D1190">
      <w:pPr>
        <w:spacing w:line="560" w:lineRule="exact"/>
        <w:rPr>
          <w:rFonts w:ascii="仿宋_GB2312" w:eastAsia="仿宋_GB2312"/>
          <w:sz w:val="32"/>
          <w:szCs w:val="32"/>
        </w:rPr>
      </w:pPr>
    </w:p>
    <w:p w14:paraId="6334AB0C">
      <w:pPr>
        <w:spacing w:line="560" w:lineRule="exact"/>
        <w:jc w:val="center"/>
        <w:rPr>
          <w:rFonts w:hint="eastAsia" w:ascii="黑体" w:hAnsi="黑体" w:eastAsia="黑体" w:cs="黑体"/>
          <w:b/>
          <w:bCs/>
          <w:color w:val="000000"/>
          <w:sz w:val="44"/>
          <w:szCs w:val="44"/>
          <w:lang w:eastAsia="zh-CN"/>
        </w:rPr>
      </w:pPr>
      <w:r>
        <w:rPr>
          <w:rFonts w:hint="eastAsia" w:ascii="黑体" w:hAnsi="黑体" w:eastAsia="黑体" w:cs="黑体"/>
          <w:b/>
          <w:bCs/>
          <w:sz w:val="44"/>
          <w:szCs w:val="44"/>
          <w:lang w:val="en-US" w:eastAsia="zh-CN"/>
        </w:rPr>
        <w:t>铁岭昌图辽宁大唐国际昌图宋家街150MW风电新建工程</w:t>
      </w:r>
      <w:r>
        <w:rPr>
          <w:rFonts w:hint="eastAsia" w:ascii="黑体" w:hAnsi="黑体" w:eastAsia="黑体" w:cs="黑体"/>
          <w:b/>
          <w:bCs/>
          <w:color w:val="000000"/>
          <w:sz w:val="44"/>
          <w:szCs w:val="44"/>
          <w:lang w:eastAsia="zh-CN"/>
        </w:rPr>
        <w:t>“</w:t>
      </w:r>
      <w:r>
        <w:rPr>
          <w:rFonts w:hint="eastAsia" w:ascii="黑体" w:hAnsi="黑体" w:eastAsia="黑体" w:cs="黑体"/>
          <w:b/>
          <w:bCs/>
          <w:color w:val="000000"/>
          <w:sz w:val="44"/>
          <w:szCs w:val="44"/>
          <w:lang w:val="en-US" w:eastAsia="zh-CN"/>
        </w:rPr>
        <w:t>5</w:t>
      </w:r>
      <w:r>
        <w:rPr>
          <w:rFonts w:hint="eastAsia" w:ascii="黑体" w:hAnsi="黑体" w:eastAsia="黑体" w:cs="黑体"/>
          <w:b/>
          <w:bCs/>
          <w:color w:val="000000"/>
          <w:sz w:val="44"/>
          <w:szCs w:val="44"/>
          <w:lang w:eastAsia="zh-CN"/>
        </w:rPr>
        <w:t>·</w:t>
      </w:r>
      <w:r>
        <w:rPr>
          <w:rFonts w:hint="eastAsia" w:ascii="黑体" w:hAnsi="黑体" w:eastAsia="黑体" w:cs="黑体"/>
          <w:b/>
          <w:bCs/>
          <w:color w:val="000000"/>
          <w:sz w:val="44"/>
          <w:szCs w:val="44"/>
          <w:lang w:val="en-US" w:eastAsia="zh-CN"/>
        </w:rPr>
        <w:t>18</w:t>
      </w:r>
      <w:r>
        <w:rPr>
          <w:rFonts w:hint="eastAsia" w:ascii="黑体" w:hAnsi="黑体" w:eastAsia="黑体" w:cs="黑体"/>
          <w:b/>
          <w:bCs/>
          <w:color w:val="000000"/>
          <w:sz w:val="44"/>
          <w:szCs w:val="44"/>
          <w:lang w:eastAsia="zh-CN"/>
        </w:rPr>
        <w:t>”触电死亡</w:t>
      </w:r>
    </w:p>
    <w:p w14:paraId="1D1F6ADE">
      <w:pPr>
        <w:spacing w:line="560" w:lineRule="exact"/>
        <w:jc w:val="center"/>
        <w:rPr>
          <w:rFonts w:hint="eastAsia" w:ascii="黑体" w:hAnsi="黑体" w:eastAsia="黑体" w:cs="黑体"/>
          <w:b/>
          <w:bCs/>
          <w:sz w:val="44"/>
          <w:szCs w:val="44"/>
        </w:rPr>
      </w:pPr>
      <w:r>
        <w:rPr>
          <w:rFonts w:hint="eastAsia" w:ascii="黑体" w:hAnsi="黑体" w:eastAsia="黑体" w:cs="黑体"/>
          <w:b/>
          <w:bCs/>
          <w:color w:val="000000"/>
          <w:sz w:val="44"/>
          <w:szCs w:val="44"/>
          <w:lang w:eastAsia="zh-CN"/>
        </w:rPr>
        <w:t>事件</w:t>
      </w:r>
      <w:r>
        <w:rPr>
          <w:rFonts w:hint="eastAsia" w:ascii="黑体" w:hAnsi="黑体" w:eastAsia="黑体" w:cs="黑体"/>
          <w:b/>
          <w:bCs/>
          <w:sz w:val="44"/>
          <w:szCs w:val="44"/>
        </w:rPr>
        <w:t>调查报告</w:t>
      </w:r>
    </w:p>
    <w:p w14:paraId="66817856">
      <w:pPr>
        <w:spacing w:line="560" w:lineRule="exact"/>
        <w:rPr>
          <w:rFonts w:ascii="仿宋_GB2312" w:eastAsia="仿宋_GB2312"/>
          <w:sz w:val="44"/>
          <w:szCs w:val="44"/>
        </w:rPr>
      </w:pPr>
    </w:p>
    <w:p w14:paraId="68D5EB0F">
      <w:pPr>
        <w:spacing w:line="560" w:lineRule="exact"/>
        <w:rPr>
          <w:rFonts w:ascii="仿宋_GB2312" w:eastAsia="仿宋_GB2312"/>
          <w:sz w:val="32"/>
          <w:szCs w:val="32"/>
        </w:rPr>
      </w:pPr>
    </w:p>
    <w:p w14:paraId="70A84FDC">
      <w:pPr>
        <w:spacing w:line="560" w:lineRule="exact"/>
        <w:rPr>
          <w:rFonts w:ascii="仿宋_GB2312" w:eastAsia="仿宋_GB2312"/>
          <w:sz w:val="32"/>
          <w:szCs w:val="32"/>
        </w:rPr>
      </w:pPr>
    </w:p>
    <w:p w14:paraId="06B22271">
      <w:pPr>
        <w:spacing w:line="560" w:lineRule="exact"/>
        <w:rPr>
          <w:rFonts w:ascii="仿宋_GB2312" w:eastAsia="仿宋_GB2312"/>
          <w:sz w:val="32"/>
          <w:szCs w:val="32"/>
        </w:rPr>
      </w:pPr>
    </w:p>
    <w:p w14:paraId="43BA2040">
      <w:pPr>
        <w:spacing w:line="560" w:lineRule="exact"/>
        <w:rPr>
          <w:rFonts w:ascii="仿宋_GB2312" w:eastAsia="仿宋_GB2312"/>
          <w:sz w:val="32"/>
          <w:szCs w:val="32"/>
        </w:rPr>
      </w:pPr>
    </w:p>
    <w:p w14:paraId="790A7CD0">
      <w:pPr>
        <w:spacing w:line="560" w:lineRule="exact"/>
        <w:rPr>
          <w:rFonts w:ascii="仿宋_GB2312" w:eastAsia="仿宋_GB2312"/>
          <w:sz w:val="32"/>
          <w:szCs w:val="32"/>
        </w:rPr>
      </w:pPr>
    </w:p>
    <w:p w14:paraId="290F8F73">
      <w:pPr>
        <w:spacing w:line="560" w:lineRule="exact"/>
        <w:rPr>
          <w:rFonts w:ascii="仿宋_GB2312" w:eastAsia="仿宋_GB2312"/>
          <w:sz w:val="32"/>
          <w:szCs w:val="32"/>
        </w:rPr>
      </w:pPr>
    </w:p>
    <w:p w14:paraId="61387651">
      <w:pPr>
        <w:spacing w:line="560" w:lineRule="exact"/>
        <w:rPr>
          <w:rFonts w:ascii="仿宋_GB2312" w:eastAsia="仿宋_GB2312"/>
          <w:sz w:val="32"/>
          <w:szCs w:val="32"/>
        </w:rPr>
      </w:pPr>
    </w:p>
    <w:p w14:paraId="0F0F26F9">
      <w:pPr>
        <w:spacing w:line="560" w:lineRule="exact"/>
        <w:rPr>
          <w:rFonts w:ascii="仿宋_GB2312" w:eastAsia="仿宋_GB2312"/>
          <w:sz w:val="32"/>
          <w:szCs w:val="32"/>
        </w:rPr>
      </w:pPr>
    </w:p>
    <w:p w14:paraId="0227CB2E">
      <w:pPr>
        <w:spacing w:line="560" w:lineRule="exact"/>
        <w:jc w:val="center"/>
        <w:rPr>
          <w:rFonts w:ascii="宋体" w:hAnsi="宋体"/>
          <w:b/>
          <w:sz w:val="32"/>
          <w:szCs w:val="32"/>
        </w:rPr>
      </w:pPr>
    </w:p>
    <w:p w14:paraId="5E8870FC">
      <w:pPr>
        <w:spacing w:line="560" w:lineRule="exact"/>
        <w:jc w:val="center"/>
        <w:rPr>
          <w:rFonts w:ascii="宋体" w:hAnsi="宋体"/>
          <w:b/>
          <w:sz w:val="32"/>
          <w:szCs w:val="32"/>
        </w:rPr>
      </w:pPr>
    </w:p>
    <w:p w14:paraId="5610E335">
      <w:pPr>
        <w:spacing w:line="560" w:lineRule="exact"/>
        <w:jc w:val="center"/>
        <w:rPr>
          <w:rFonts w:ascii="宋体" w:hAnsi="宋体"/>
          <w:b/>
          <w:sz w:val="32"/>
          <w:szCs w:val="32"/>
        </w:rPr>
      </w:pPr>
      <w:r>
        <w:rPr>
          <w:rFonts w:hint="eastAsia" w:ascii="宋体" w:hAnsi="宋体"/>
          <w:b/>
          <w:sz w:val="32"/>
          <w:szCs w:val="32"/>
          <w:lang w:val="en-US" w:eastAsia="zh-CN"/>
        </w:rPr>
        <w:t>铁岭市人民</w:t>
      </w:r>
      <w:r>
        <w:rPr>
          <w:rFonts w:hint="eastAsia" w:ascii="宋体" w:hAnsi="宋体"/>
          <w:b/>
          <w:sz w:val="32"/>
          <w:szCs w:val="32"/>
        </w:rPr>
        <w:t>政府事故调查组</w:t>
      </w:r>
    </w:p>
    <w:p w14:paraId="5C0DD9A3">
      <w:pPr>
        <w:spacing w:line="560" w:lineRule="exact"/>
        <w:jc w:val="center"/>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4</w:t>
      </w:r>
      <w:r>
        <w:rPr>
          <w:rFonts w:hint="eastAsia" w:ascii="宋体" w:hAnsi="宋体"/>
          <w:b/>
          <w:sz w:val="32"/>
          <w:szCs w:val="32"/>
        </w:rPr>
        <w:t>年</w:t>
      </w:r>
      <w:r>
        <w:rPr>
          <w:rFonts w:hint="eastAsia" w:ascii="宋体" w:hAnsi="宋体"/>
          <w:b/>
          <w:sz w:val="32"/>
          <w:szCs w:val="32"/>
          <w:lang w:val="en-US" w:eastAsia="zh-CN"/>
        </w:rPr>
        <w:t>7</w:t>
      </w:r>
      <w:r>
        <w:rPr>
          <w:rFonts w:hint="eastAsia" w:ascii="宋体" w:hAnsi="宋体"/>
          <w:b/>
          <w:sz w:val="32"/>
          <w:szCs w:val="32"/>
        </w:rPr>
        <w:t>月</w:t>
      </w:r>
      <w:r>
        <w:rPr>
          <w:rFonts w:hint="eastAsia" w:ascii="宋体" w:hAnsi="宋体"/>
          <w:b/>
          <w:sz w:val="32"/>
          <w:szCs w:val="32"/>
          <w:lang w:val="en-US" w:eastAsia="zh-CN"/>
        </w:rPr>
        <w:t>5</w:t>
      </w:r>
      <w:r>
        <w:rPr>
          <w:rFonts w:hint="eastAsia" w:ascii="宋体" w:hAnsi="宋体"/>
          <w:b/>
          <w:sz w:val="32"/>
          <w:szCs w:val="32"/>
        </w:rPr>
        <w:t>日</w:t>
      </w:r>
    </w:p>
    <w:p w14:paraId="7E234046">
      <w:pPr>
        <w:spacing w:line="560" w:lineRule="exact"/>
        <w:rPr>
          <w:rFonts w:ascii="仿宋_GB2312" w:eastAsia="仿宋_GB2312"/>
          <w:sz w:val="32"/>
          <w:szCs w:val="32"/>
        </w:rPr>
      </w:pPr>
      <w:r>
        <w:rPr>
          <w:rFonts w:hint="eastAsia" w:ascii="仿宋_GB2312" w:eastAsia="仿宋_GB2312"/>
          <w:sz w:val="32"/>
          <w:szCs w:val="32"/>
        </w:rPr>
        <w:t xml:space="preserve"> </w:t>
      </w:r>
    </w:p>
    <w:p w14:paraId="417A00F0">
      <w:pPr>
        <w:widowControl/>
        <w:jc w:val="left"/>
        <w:rPr>
          <w:rFonts w:ascii="仿宋_GB2312" w:eastAsia="仿宋_GB2312"/>
          <w:sz w:val="32"/>
          <w:szCs w:val="32"/>
        </w:rPr>
      </w:pPr>
    </w:p>
    <w:p w14:paraId="5031E3D8">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铁岭昌图辽宁大唐国际昌图宋家街150MW风电新建工程“5·18”触电死亡事件</w:t>
      </w:r>
    </w:p>
    <w:p w14:paraId="05275FA9">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调查报告</w:t>
      </w:r>
    </w:p>
    <w:p w14:paraId="50979397">
      <w:pPr>
        <w:jc w:val="center"/>
        <w:rPr>
          <w:rFonts w:hint="eastAsia" w:ascii="宋体" w:hAnsi="宋体" w:eastAsia="宋体" w:cs="宋体"/>
          <w:b/>
          <w:bCs/>
          <w:sz w:val="44"/>
          <w:szCs w:val="44"/>
          <w:lang w:val="en-US" w:eastAsia="zh-CN"/>
        </w:rPr>
      </w:pPr>
    </w:p>
    <w:p w14:paraId="68C2CEFA">
      <w:pPr>
        <w:ind w:firstLine="662" w:firstLineChars="200"/>
        <w:jc w:val="both"/>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2024年5月18日16：10分许，位于付家机械林场前进分场的辽宁大唐国际昌图风电有限责任公司风电作业路工程项目，发生一起一般触电亡人事件，造成一人死亡。</w:t>
      </w:r>
    </w:p>
    <w:p w14:paraId="4B577918">
      <w:pPr>
        <w:ind w:firstLine="662"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lang w:val="en-US" w:eastAsia="zh-CN"/>
        </w:rPr>
        <w:t>事故发生后，根据《中华人民共和国安全生产法》《生产安全事故报告和调查处理条例》（中华人民共和国国务院第493号令）等有关法律法规的规定，</w:t>
      </w:r>
      <w:r>
        <w:rPr>
          <w:rFonts w:hint="eastAsia" w:ascii="仿宋" w:hAnsi="仿宋" w:eastAsia="仿宋" w:cs="仿宋"/>
          <w:b w:val="0"/>
          <w:bCs w:val="0"/>
          <w:sz w:val="32"/>
          <w:szCs w:val="32"/>
          <w:highlight w:val="none"/>
          <w:lang w:val="en-US" w:eastAsia="zh-CN"/>
        </w:rPr>
        <w:t>铁岭市人民政府成立了由市应急管理局、市发改委、市公安局、市总工会、昌图县应急管理局等有关单位工作人员组成的铁岭昌图辽宁大唐国际昌图宋家街150MW风电新建工程“5·18”一般触电死亡事故调查组（以下简称事故调查组），并邀请铁岭市纪委监委派员参加。对事故开展全面调查。</w:t>
      </w:r>
    </w:p>
    <w:p w14:paraId="7EC7A77B">
      <w:pPr>
        <w:ind w:firstLine="662"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事故调查组坚持“科学严谨、依法依规、实事求是、注重实效”的原则，通过调查取证、调阅资料、人员问询等，查明了事故发生的经过。</w:t>
      </w:r>
    </w:p>
    <w:p w14:paraId="23FD131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62"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一、事故基本情况</w:t>
      </w:r>
    </w:p>
    <w:p w14:paraId="2FBEF53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62"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（一）事故相关单位基本情况</w:t>
      </w:r>
    </w:p>
    <w:p w14:paraId="6E65466B">
      <w:pPr>
        <w:keepNext w:val="0"/>
        <w:keepLines w:val="0"/>
        <w:pageBreakBefore w:val="0"/>
        <w:widowControl w:val="0"/>
        <w:kinsoku/>
        <w:wordWrap/>
        <w:overflowPunct/>
        <w:topLinePunct w:val="0"/>
        <w:autoSpaceDE/>
        <w:autoSpaceDN/>
        <w:bidi w:val="0"/>
        <w:adjustRightInd/>
        <w:snapToGrid/>
        <w:spacing w:line="360" w:lineRule="auto"/>
        <w:ind w:firstLine="662"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1、辽宁亿方建筑工程咨询有限责任公司，为该项目工程的承建单位。</w:t>
      </w:r>
    </w:p>
    <w:p w14:paraId="61FCCDFA">
      <w:pPr>
        <w:keepNext w:val="0"/>
        <w:keepLines w:val="0"/>
        <w:pageBreakBefore w:val="0"/>
        <w:widowControl w:val="0"/>
        <w:kinsoku/>
        <w:wordWrap/>
        <w:overflowPunct/>
        <w:topLinePunct w:val="0"/>
        <w:autoSpaceDE/>
        <w:autoSpaceDN/>
        <w:bidi w:val="0"/>
        <w:adjustRightInd/>
        <w:snapToGrid/>
        <w:spacing w:line="360" w:lineRule="auto"/>
        <w:ind w:firstLine="662"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val="0"/>
          <w:sz w:val="32"/>
          <w:szCs w:val="32"/>
          <w:lang w:val="en-US" w:eastAsia="zh-CN"/>
        </w:rPr>
        <w:t>2、</w:t>
      </w:r>
      <w:r>
        <w:rPr>
          <w:rFonts w:hint="eastAsia" w:ascii="仿宋" w:hAnsi="仿宋" w:eastAsia="仿宋" w:cs="仿宋"/>
          <w:b w:val="0"/>
          <w:bCs/>
          <w:sz w:val="32"/>
          <w:szCs w:val="32"/>
          <w:lang w:val="en-US" w:eastAsia="zh-CN"/>
        </w:rPr>
        <w:t>辽宁大唐国际昌图风电有限责任公司，为该项目工程的建设单位。</w:t>
      </w:r>
    </w:p>
    <w:p w14:paraId="6FA00B6F">
      <w:pPr>
        <w:keepNext w:val="0"/>
        <w:keepLines w:val="0"/>
        <w:pageBreakBefore w:val="0"/>
        <w:widowControl w:val="0"/>
        <w:kinsoku/>
        <w:wordWrap/>
        <w:overflowPunct/>
        <w:topLinePunct w:val="0"/>
        <w:autoSpaceDE/>
        <w:autoSpaceDN/>
        <w:bidi w:val="0"/>
        <w:adjustRightInd/>
        <w:snapToGrid/>
        <w:spacing w:line="360" w:lineRule="auto"/>
        <w:ind w:firstLine="662"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3、黑龙江电力建设监理有限责任公司，为该项目的监理单位。</w:t>
      </w:r>
    </w:p>
    <w:p w14:paraId="29496B43">
      <w:pPr>
        <w:keepNext w:val="0"/>
        <w:keepLines w:val="0"/>
        <w:pageBreakBefore w:val="0"/>
        <w:widowControl w:val="0"/>
        <w:kinsoku/>
        <w:wordWrap/>
        <w:overflowPunct/>
        <w:topLinePunct w:val="0"/>
        <w:autoSpaceDE/>
        <w:autoSpaceDN/>
        <w:bidi w:val="0"/>
        <w:adjustRightInd/>
        <w:snapToGrid/>
        <w:spacing w:line="360" w:lineRule="auto"/>
        <w:ind w:firstLine="662" w:firstLineChars="2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4、付家机械林场前进分场，为该项目工程的属地管理单位。</w:t>
      </w:r>
    </w:p>
    <w:p w14:paraId="776E2FF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62" w:firstLineChars="200"/>
        <w:jc w:val="left"/>
        <w:rPr>
          <w:rFonts w:hint="eastAsia" w:ascii="仿宋" w:hAnsi="仿宋" w:eastAsia="仿宋" w:cs="仿宋"/>
          <w:b w:val="0"/>
          <w:bCs/>
          <w:sz w:val="32"/>
          <w:szCs w:val="32"/>
          <w:lang w:val="en-US" w:eastAsia="zh-CN"/>
        </w:rPr>
      </w:pPr>
      <w:r>
        <w:rPr>
          <w:rFonts w:hint="eastAsia" w:ascii="仿宋" w:hAnsi="仿宋" w:eastAsia="仿宋" w:cs="仿宋"/>
          <w:b/>
          <w:bCs/>
          <w:sz w:val="32"/>
          <w:szCs w:val="32"/>
          <w:lang w:val="en-US" w:eastAsia="zh-CN"/>
        </w:rPr>
        <w:t>（二）事故有关个人基本情况</w:t>
      </w:r>
    </w:p>
    <w:p w14:paraId="5ABEB442">
      <w:pPr>
        <w:keepNext w:val="0"/>
        <w:keepLines w:val="0"/>
        <w:pageBreakBefore w:val="0"/>
        <w:widowControl w:val="0"/>
        <w:kinsoku/>
        <w:wordWrap/>
        <w:overflowPunct/>
        <w:topLinePunct w:val="0"/>
        <w:autoSpaceDE/>
        <w:autoSpaceDN/>
        <w:bidi w:val="0"/>
        <w:adjustRightInd/>
        <w:snapToGrid/>
        <w:spacing w:line="360" w:lineRule="auto"/>
        <w:ind w:firstLine="662"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1、孙威，系个人，为欧曼牌自卸翻斗车所有人，该车车牌号为冀B8G626，颜色为绿色，车头长2.15米，车斗长8.7米，车厢立起距离地面最大高度8.6米。</w:t>
      </w:r>
    </w:p>
    <w:p w14:paraId="361196A4">
      <w:pPr>
        <w:keepNext w:val="0"/>
        <w:keepLines w:val="0"/>
        <w:pageBreakBefore w:val="0"/>
        <w:widowControl w:val="0"/>
        <w:numPr>
          <w:ilvl w:val="0"/>
          <w:numId w:val="0"/>
        </w:numPr>
        <w:kinsoku/>
        <w:wordWrap/>
        <w:overflowPunct/>
        <w:topLinePunct w:val="0"/>
        <w:autoSpaceDE/>
        <w:autoSpaceDN/>
        <w:bidi w:val="0"/>
        <w:adjustRightInd/>
        <w:snapToGrid/>
        <w:ind w:firstLine="662"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翟力国</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死者</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48岁，系孙威所雇佣司机。</w:t>
      </w:r>
    </w:p>
    <w:p w14:paraId="75A1C2D3">
      <w:pPr>
        <w:keepNext w:val="0"/>
        <w:keepLines w:val="0"/>
        <w:pageBreakBefore w:val="0"/>
        <w:widowControl w:val="0"/>
        <w:numPr>
          <w:ilvl w:val="0"/>
          <w:numId w:val="0"/>
        </w:numPr>
        <w:kinsoku/>
        <w:wordWrap/>
        <w:overflowPunct/>
        <w:topLinePunct w:val="0"/>
        <w:autoSpaceDE/>
        <w:autoSpaceDN/>
        <w:bidi w:val="0"/>
        <w:adjustRightInd/>
        <w:snapToGrid/>
        <w:ind w:firstLine="662" w:firstLineChars="200"/>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（三）事故发生相关单位经营情况</w:t>
      </w:r>
    </w:p>
    <w:p w14:paraId="23B01B08">
      <w:pPr>
        <w:keepNext w:val="0"/>
        <w:keepLines w:val="0"/>
        <w:pageBreakBefore w:val="0"/>
        <w:widowControl w:val="0"/>
        <w:numPr>
          <w:ilvl w:val="0"/>
          <w:numId w:val="0"/>
        </w:numPr>
        <w:kinsoku/>
        <w:wordWrap/>
        <w:overflowPunct/>
        <w:topLinePunct w:val="0"/>
        <w:autoSpaceDE/>
        <w:autoSpaceDN/>
        <w:bidi w:val="0"/>
        <w:adjustRightInd/>
        <w:snapToGrid/>
        <w:ind w:firstLine="662"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1、辽宁亿方建筑工程咨询服务有限公司</w:t>
      </w:r>
    </w:p>
    <w:p w14:paraId="6496DD89">
      <w:pPr>
        <w:numPr>
          <w:ilvl w:val="0"/>
          <w:numId w:val="0"/>
        </w:numPr>
        <w:ind w:firstLine="662"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（1）项目发包及供料情况</w:t>
      </w:r>
    </w:p>
    <w:p w14:paraId="3A9AFBED">
      <w:pPr>
        <w:keepNext w:val="0"/>
        <w:keepLines w:val="0"/>
        <w:pageBreakBefore w:val="0"/>
        <w:widowControl w:val="0"/>
        <w:kinsoku/>
        <w:wordWrap/>
        <w:overflowPunct/>
        <w:topLinePunct w:val="0"/>
        <w:autoSpaceDE/>
        <w:autoSpaceDN/>
        <w:bidi w:val="0"/>
        <w:adjustRightInd/>
        <w:snapToGrid/>
        <w:spacing w:line="360" w:lineRule="auto"/>
        <w:ind w:firstLine="662"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辽宁亿方建筑工程咨询服务有限公司通过招、拍、挂方式承包辽宁大唐国际昌图风电有限责任公司宋家街150MW风电项目作业道路施工项目。辽宁亿方建筑工程咨询服务有限公司修建作业路所需石料由三家供给，分别为昌图县蓝天采石有限公司供料1.6万立方米，四平市盛达建筑材料有限公司供料3万立方米，孙威（个人）供料1467立方米，三个供料方均签订了采购合同。</w:t>
      </w:r>
    </w:p>
    <w:p w14:paraId="448E254F">
      <w:pPr>
        <w:numPr>
          <w:ilvl w:val="0"/>
          <w:numId w:val="0"/>
        </w:numPr>
        <w:ind w:firstLine="662"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（2）现场作业路情况</w:t>
      </w:r>
    </w:p>
    <w:p w14:paraId="49DBB0AA">
      <w:pPr>
        <w:numPr>
          <w:ilvl w:val="0"/>
          <w:numId w:val="0"/>
        </w:numPr>
        <w:ind w:firstLine="662"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通过现场勘察并结合规划图调查发现：事故发生地块于2024年5月10日进场开始施工，共有作业路6条，分别为2号路,2-1号路（道路宽5米）,2-2号路,2-3号路,2-4号路和2-5号路.2号路是主路基本修完, 2-1号路是事故路段.2-2和2-4没有开工,2-1,2-3和2-5处于断断续续修建状态.该地块计划建立风力发电机组7座，所修作业路是风电机组设备运输及后续维修保养专用路。</w:t>
      </w:r>
    </w:p>
    <w:p w14:paraId="5EF3F9C2">
      <w:pPr>
        <w:numPr>
          <w:ilvl w:val="0"/>
          <w:numId w:val="0"/>
        </w:numPr>
        <w:ind w:firstLine="662"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（3）事故发生路段施工情况</w:t>
      </w:r>
    </w:p>
    <w:p w14:paraId="49E163D4">
      <w:pPr>
        <w:numPr>
          <w:ilvl w:val="0"/>
          <w:numId w:val="0"/>
        </w:numPr>
        <w:ind w:firstLine="662" w:firstLineChars="200"/>
        <w:rPr>
          <w:rFonts w:hint="default" w:ascii="仿宋" w:hAnsi="仿宋" w:eastAsia="仿宋" w:cs="仿宋"/>
          <w:b w:val="0"/>
          <w:bCs w:val="0"/>
          <w:sz w:val="32"/>
          <w:szCs w:val="32"/>
          <w:lang w:val="en-US" w:eastAsia="zh-CN"/>
        </w:rPr>
      </w:pPr>
      <w:r>
        <w:rPr>
          <w:rFonts w:hint="eastAsia" w:ascii="仿宋" w:hAnsi="仿宋" w:eastAsia="仿宋" w:cs="仿宋"/>
          <w:b w:val="0"/>
          <w:bCs/>
          <w:sz w:val="32"/>
          <w:szCs w:val="32"/>
          <w:lang w:val="en-US" w:eastAsia="zh-CN"/>
        </w:rPr>
        <w:t>2-1号路于2024年5月12日开始施工，因涉及李军家树木砍伐证没下来导致2-1号路于2024年5月16日停工，黑龙江电力建设监理有限责任公司于2024年5月16日下达了工程暂停令（LDJL-ZH-A05-014）,要求承包单位</w:t>
      </w:r>
      <w:r>
        <w:rPr>
          <w:rFonts w:hint="eastAsia" w:ascii="仿宋" w:hAnsi="仿宋" w:eastAsia="仿宋" w:cs="仿宋"/>
          <w:b w:val="0"/>
          <w:bCs w:val="0"/>
          <w:sz w:val="32"/>
          <w:szCs w:val="32"/>
          <w:lang w:val="en-US" w:eastAsia="zh-CN"/>
        </w:rPr>
        <w:t>辽宁亿方建筑工程咨询有限责任公司对该路段暂时停工，辽宁亿方建筑工程咨询有限责任公司已经按要求停工。</w:t>
      </w:r>
    </w:p>
    <w:p w14:paraId="7F77857E">
      <w:pPr>
        <w:numPr>
          <w:ilvl w:val="0"/>
          <w:numId w:val="1"/>
        </w:numPr>
        <w:ind w:firstLine="662"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事故发生单位安全管理情况</w:t>
      </w:r>
    </w:p>
    <w:p w14:paraId="2AF73B51">
      <w:pPr>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事故发生地2-1号路停工期间设置了安全围栏（已被村民因种地破坏），安排了日常巡视人员。</w:t>
      </w:r>
    </w:p>
    <w:p w14:paraId="187CF543">
      <w:pPr>
        <w:numPr>
          <w:ilvl w:val="0"/>
          <w:numId w:val="1"/>
        </w:numPr>
        <w:ind w:left="0" w:leftChars="0" w:firstLine="662"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事故发生经过和救援情况</w:t>
      </w:r>
    </w:p>
    <w:p w14:paraId="5855AFDA">
      <w:pPr>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2024年5月18日16：10分左右，翟某（死者）驾驶冀B8G626欧曼牌绿色翻斗车装载石料前往徐某（个人）料场运送石料，遭到徐某料场负责人安某拒收，司机翟某与车主孙威沟通后在未和辽宁亿方建筑工程咨询有限责任公司相关负责人员沟通的情况下私自将料送往付家机械林场前进分场大唐风电2-1号作业路处，司机翟某操作翻斗车卸石料时，车辆货箱顶部刮到10千伏高压线上，车胎爆胎，翟某开门下车向车前方跑5米左右倒地。 </w:t>
      </w:r>
    </w:p>
    <w:p w14:paraId="675E1A06">
      <w:pPr>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事故发生后，辽宁亿方建筑工程咨询有限责任公司现场负责人孙某通知车主孙威，同时拨打120急救电话，约17时30分120医护人员到达现场对翟某进行抢救，经全力抢救抢救无效，120确认司机翟某死亡。</w:t>
      </w:r>
    </w:p>
    <w:p w14:paraId="229DCB4D">
      <w:pPr>
        <w:numPr>
          <w:ilvl w:val="0"/>
          <w:numId w:val="2"/>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事故的原因和事故的性质</w:t>
      </w:r>
    </w:p>
    <w:p w14:paraId="7A7C1545">
      <w:pPr>
        <w:numPr>
          <w:ilvl w:val="0"/>
          <w:numId w:val="3"/>
        </w:numPr>
        <w:ind w:left="640" w:leftChars="0" w:firstLine="0" w:firstLineChars="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事故的原因</w:t>
      </w:r>
    </w:p>
    <w:p w14:paraId="4D5E2865">
      <w:pPr>
        <w:numPr>
          <w:ilvl w:val="0"/>
          <w:numId w:val="4"/>
        </w:numPr>
        <w:ind w:firstLine="662"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司机翟某在路段停工状态下未经施工方辽宁亿方建筑工程咨询有限责任公司允许进入施工道路卸料并且在现场巡视人员阻拦卸料的情况下强行卸料导致事故的发生。</w:t>
      </w:r>
    </w:p>
    <w:p w14:paraId="5BAF1902">
      <w:pPr>
        <w:numPr>
          <w:ilvl w:val="0"/>
          <w:numId w:val="4"/>
        </w:numPr>
        <w:ind w:firstLine="662" w:firstLineChars="200"/>
        <w:jc w:val="lef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司机翟某</w:t>
      </w:r>
      <w:r>
        <w:rPr>
          <w:rFonts w:hint="eastAsia" w:ascii="仿宋" w:hAnsi="仿宋" w:eastAsia="仿宋" w:cs="仿宋"/>
          <w:b w:val="0"/>
          <w:sz w:val="32"/>
          <w:szCs w:val="32"/>
          <w:lang w:val="en-US" w:eastAsia="zh-CN"/>
        </w:rPr>
        <w:t>安全意识淡薄，翻斗车卸料时未观察周边环境，翻斗车顶部触碰高压线后未采取正确的应对措施导致触电。</w:t>
      </w:r>
    </w:p>
    <w:p w14:paraId="63C08113">
      <w:pPr>
        <w:numPr>
          <w:ilvl w:val="0"/>
          <w:numId w:val="3"/>
        </w:numPr>
        <w:ind w:left="640" w:leftChars="0" w:firstLine="0" w:firstLineChars="0"/>
        <w:jc w:val="left"/>
        <w:rPr>
          <w:rFonts w:hint="default" w:ascii="仿宋" w:hAnsi="仿宋" w:eastAsia="仿宋" w:cs="仿宋"/>
          <w:b w:val="0"/>
          <w:sz w:val="32"/>
          <w:szCs w:val="32"/>
          <w:lang w:val="en-US" w:eastAsia="zh-CN"/>
        </w:rPr>
      </w:pPr>
      <w:r>
        <w:rPr>
          <w:rFonts w:hint="eastAsia" w:ascii="仿宋" w:hAnsi="仿宋" w:eastAsia="仿宋" w:cs="仿宋"/>
          <w:b w:val="0"/>
          <w:sz w:val="32"/>
          <w:szCs w:val="32"/>
          <w:lang w:val="en-US" w:eastAsia="zh-CN"/>
        </w:rPr>
        <w:t>事故的性质认定</w:t>
      </w:r>
    </w:p>
    <w:p w14:paraId="07665A63">
      <w:pPr>
        <w:keepNext w:val="0"/>
        <w:keepLines w:val="0"/>
        <w:widowControl/>
        <w:suppressLineNumbers w:val="0"/>
        <w:ind w:firstLine="662"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sz w:val="32"/>
          <w:szCs w:val="32"/>
          <w:lang w:val="en-US" w:eastAsia="zh-CN"/>
        </w:rPr>
        <w:t>按</w:t>
      </w:r>
      <w:r>
        <w:rPr>
          <w:rFonts w:hint="eastAsia" w:ascii="仿宋" w:hAnsi="仿宋" w:eastAsia="仿宋" w:cs="仿宋"/>
          <w:b w:val="0"/>
          <w:bCs w:val="0"/>
          <w:sz w:val="32"/>
          <w:szCs w:val="32"/>
          <w:lang w:val="en-US" w:eastAsia="zh-CN"/>
        </w:rPr>
        <w:t>照《生产安全事故报告和调查处理条例</w:t>
      </w:r>
      <w:r>
        <w:rPr>
          <w:rFonts w:hint="default" w:ascii="仿宋" w:hAnsi="仿宋" w:eastAsia="仿宋" w:cs="仿宋"/>
          <w:b w:val="0"/>
          <w:bCs w:val="0"/>
          <w:sz w:val="32"/>
          <w:szCs w:val="32"/>
          <w:lang w:val="en-US" w:eastAsia="zh-CN"/>
        </w:rPr>
        <w:t> </w:t>
      </w:r>
      <w:r>
        <w:rPr>
          <w:rFonts w:hint="eastAsia" w:ascii="仿宋" w:hAnsi="仿宋" w:eastAsia="仿宋" w:cs="仿宋"/>
          <w:b w:val="0"/>
          <w:bCs w:val="0"/>
          <w:sz w:val="32"/>
          <w:szCs w:val="32"/>
          <w:lang w:val="en-US" w:eastAsia="zh-CN"/>
        </w:rPr>
        <w:t>》和《中华人民共和国安全生产法》的规定，生产安全事故指的是生产经营单位在生产经营过程中发生的事故，司机翟某的行为与辽宁亿方建筑工程咨询有限责任公司生产经营活动无关。经调查组多方收集事故的人证、物证，调查组成员单位多次研判，最终一致认定此次事件原因是个人擅自进入已经停工的场地内卸料导致，认定铁岭昌图辽宁大唐国际昌图宋家街150MW风电新建工程“5·18”触电死亡事件为意外事件，不属于生产安全事故。</w:t>
      </w:r>
    </w:p>
    <w:p w14:paraId="7779C51F">
      <w:pPr>
        <w:keepNext w:val="0"/>
        <w:keepLines w:val="0"/>
        <w:widowControl/>
        <w:numPr>
          <w:ilvl w:val="0"/>
          <w:numId w:val="2"/>
        </w:numPr>
        <w:suppressLineNumbers w:val="0"/>
        <w:ind w:left="0" w:leftChars="0" w:firstLine="640" w:firstLineChars="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事件的防范和整改措施</w:t>
      </w:r>
    </w:p>
    <w:p w14:paraId="41A73030">
      <w:pPr>
        <w:keepNext w:val="0"/>
        <w:keepLines w:val="0"/>
        <w:pageBreakBefore w:val="0"/>
        <w:widowControl w:val="0"/>
        <w:numPr>
          <w:ilvl w:val="0"/>
          <w:numId w:val="5"/>
        </w:numPr>
        <w:kinsoku/>
        <w:wordWrap/>
        <w:overflowPunct/>
        <w:topLinePunct w:val="0"/>
        <w:autoSpaceDN/>
        <w:bidi w:val="0"/>
        <w:adjustRightInd/>
        <w:snapToGrid/>
        <w:spacing w:line="360" w:lineRule="auto"/>
        <w:ind w:firstLine="640"/>
        <w:textAlignment w:val="auto"/>
        <w:rPr>
          <w:rFonts w:hint="eastAsia" w:ascii="仿宋" w:hAnsi="仿宋" w:eastAsia="仿宋" w:cs="仿宋"/>
          <w:b w:val="0"/>
          <w:sz w:val="32"/>
          <w:szCs w:val="32"/>
        </w:rPr>
      </w:pPr>
      <w:r>
        <w:rPr>
          <w:rFonts w:hint="eastAsia" w:ascii="仿宋" w:hAnsi="仿宋" w:eastAsia="仿宋" w:cs="仿宋"/>
          <w:b w:val="0"/>
          <w:bCs w:val="0"/>
          <w:sz w:val="32"/>
          <w:szCs w:val="32"/>
          <w:lang w:val="en-US" w:eastAsia="zh-CN"/>
        </w:rPr>
        <w:t>辽宁亿方建筑工程咨询有限责任公司要全面开会开展一次安全风险评估，按照安全风险分级采取相应的管控措施，要及时消除事故隐患，要</w:t>
      </w:r>
      <w:r>
        <w:rPr>
          <w:rFonts w:hint="eastAsia" w:ascii="仿宋" w:hAnsi="仿宋" w:eastAsia="仿宋" w:cs="仿宋"/>
          <w:b w:val="0"/>
          <w:sz w:val="32"/>
          <w:szCs w:val="32"/>
        </w:rPr>
        <w:t>认真吸取</w:t>
      </w:r>
      <w:r>
        <w:rPr>
          <w:rFonts w:hint="eastAsia" w:ascii="仿宋" w:hAnsi="仿宋" w:eastAsia="仿宋" w:cs="仿宋"/>
          <w:b w:val="0"/>
          <w:sz w:val="32"/>
          <w:szCs w:val="32"/>
          <w:lang w:val="en-US" w:eastAsia="zh-CN"/>
        </w:rPr>
        <w:t>该事件</w:t>
      </w:r>
      <w:r>
        <w:rPr>
          <w:rFonts w:hint="eastAsia" w:ascii="仿宋" w:hAnsi="仿宋" w:eastAsia="仿宋" w:cs="仿宋"/>
          <w:b w:val="0"/>
          <w:sz w:val="32"/>
          <w:szCs w:val="32"/>
        </w:rPr>
        <w:t>教训，树牢安全发展理念，建立健全本单位安全生产规章制度和操作规程，建立并落实全员安全生产责任制，要严格执行有关安全生产法律法规和规定要求</w:t>
      </w:r>
      <w:r>
        <w:rPr>
          <w:rFonts w:hint="eastAsia" w:ascii="仿宋" w:hAnsi="仿宋" w:eastAsia="仿宋" w:cs="仿宋"/>
          <w:b w:val="0"/>
          <w:sz w:val="32"/>
          <w:szCs w:val="32"/>
          <w:lang w:eastAsia="zh-CN"/>
        </w:rPr>
        <w:t>。</w:t>
      </w:r>
    </w:p>
    <w:p w14:paraId="2A3AB7B6">
      <w:pPr>
        <w:keepNext w:val="0"/>
        <w:keepLines w:val="0"/>
        <w:pageBreakBefore w:val="0"/>
        <w:widowControl w:val="0"/>
        <w:numPr>
          <w:ilvl w:val="0"/>
          <w:numId w:val="5"/>
        </w:numPr>
        <w:kinsoku/>
        <w:wordWrap/>
        <w:overflowPunct/>
        <w:topLinePunct w:val="0"/>
        <w:autoSpaceDN/>
        <w:bidi w:val="0"/>
        <w:adjustRightInd/>
        <w:snapToGrid/>
        <w:spacing w:line="360" w:lineRule="auto"/>
        <w:ind w:firstLine="640"/>
        <w:textAlignment w:val="auto"/>
        <w:rPr>
          <w:rFonts w:hint="eastAsia" w:ascii="仿宋" w:hAnsi="仿宋" w:eastAsia="仿宋" w:cs="仿宋"/>
          <w:b w:val="0"/>
          <w:sz w:val="32"/>
          <w:szCs w:val="32"/>
        </w:rPr>
      </w:pPr>
      <w:r>
        <w:rPr>
          <w:rFonts w:hint="eastAsia" w:ascii="仿宋" w:hAnsi="仿宋" w:eastAsia="仿宋" w:cs="仿宋"/>
          <w:b w:val="0"/>
          <w:bCs w:val="0"/>
          <w:sz w:val="32"/>
          <w:szCs w:val="32"/>
          <w:lang w:val="en-US" w:eastAsia="zh-CN"/>
        </w:rPr>
        <w:t>辽宁亿方建筑工程咨询有限责任公司要强化</w:t>
      </w:r>
      <w:r>
        <w:rPr>
          <w:rFonts w:hint="eastAsia" w:ascii="仿宋" w:hAnsi="仿宋" w:eastAsia="仿宋" w:cs="仿宋"/>
          <w:b w:val="0"/>
          <w:sz w:val="32"/>
          <w:szCs w:val="32"/>
        </w:rPr>
        <w:t>作业现场安全管理</w:t>
      </w:r>
      <w:r>
        <w:rPr>
          <w:rFonts w:hint="eastAsia" w:ascii="仿宋" w:hAnsi="仿宋" w:eastAsia="仿宋" w:cs="仿宋"/>
          <w:b w:val="0"/>
          <w:sz w:val="32"/>
          <w:szCs w:val="32"/>
          <w:lang w:eastAsia="zh-CN"/>
        </w:rPr>
        <w:t>，</w:t>
      </w:r>
      <w:r>
        <w:rPr>
          <w:rFonts w:hint="eastAsia" w:ascii="仿宋" w:hAnsi="仿宋" w:eastAsia="仿宋" w:cs="仿宋"/>
          <w:b w:val="0"/>
          <w:sz w:val="32"/>
          <w:szCs w:val="32"/>
        </w:rPr>
        <w:t>加强</w:t>
      </w:r>
      <w:r>
        <w:rPr>
          <w:rFonts w:hint="eastAsia" w:ascii="仿宋" w:hAnsi="仿宋" w:eastAsia="仿宋" w:cs="仿宋"/>
          <w:b w:val="0"/>
          <w:sz w:val="32"/>
          <w:szCs w:val="32"/>
          <w:lang w:val="en-US" w:eastAsia="zh-CN"/>
        </w:rPr>
        <w:t>作业现场巡查力度</w:t>
      </w:r>
      <w:r>
        <w:rPr>
          <w:rFonts w:hint="eastAsia" w:ascii="仿宋" w:hAnsi="仿宋" w:eastAsia="仿宋" w:cs="仿宋"/>
          <w:b w:val="0"/>
          <w:sz w:val="32"/>
          <w:szCs w:val="32"/>
        </w:rPr>
        <w:t>，</w:t>
      </w:r>
      <w:r>
        <w:rPr>
          <w:rFonts w:hint="eastAsia" w:ascii="仿宋" w:hAnsi="仿宋" w:eastAsia="仿宋" w:cs="仿宋"/>
          <w:b w:val="0"/>
          <w:sz w:val="32"/>
          <w:szCs w:val="32"/>
          <w:lang w:val="en-US" w:eastAsia="zh-CN"/>
        </w:rPr>
        <w:t>加强对外来人员和车辆的管理，尤其更要加强机械操作人员的安全培训教育，制定外来人员作业奖惩制度，加强停工期间的的日常巡查，做好安全防护</w:t>
      </w:r>
      <w:r>
        <w:rPr>
          <w:rFonts w:hint="eastAsia" w:ascii="仿宋" w:hAnsi="仿宋" w:eastAsia="仿宋" w:cs="仿宋"/>
          <w:b w:val="0"/>
          <w:sz w:val="32"/>
          <w:szCs w:val="32"/>
        </w:rPr>
        <w:t>。</w:t>
      </w:r>
      <w:r>
        <w:rPr>
          <w:rFonts w:hint="eastAsia" w:ascii="仿宋" w:hAnsi="仿宋" w:eastAsia="仿宋" w:cs="仿宋"/>
          <w:b w:val="0"/>
          <w:sz w:val="32"/>
          <w:szCs w:val="32"/>
          <w:lang w:val="en-US" w:eastAsia="zh-CN"/>
        </w:rPr>
        <w:t>要</w:t>
      </w:r>
      <w:r>
        <w:rPr>
          <w:rFonts w:hint="eastAsia" w:ascii="仿宋" w:hAnsi="仿宋" w:eastAsia="仿宋" w:cs="仿宋"/>
          <w:b w:val="0"/>
          <w:sz w:val="32"/>
          <w:szCs w:val="32"/>
        </w:rPr>
        <w:t>落实安全</w:t>
      </w:r>
      <w:r>
        <w:rPr>
          <w:rFonts w:hint="eastAsia" w:ascii="仿宋" w:hAnsi="仿宋" w:eastAsia="仿宋" w:cs="仿宋"/>
          <w:b w:val="0"/>
          <w:sz w:val="32"/>
          <w:szCs w:val="32"/>
          <w:lang w:val="en-US" w:eastAsia="zh-CN"/>
        </w:rPr>
        <w:t>技术</w:t>
      </w:r>
      <w:r>
        <w:rPr>
          <w:rFonts w:hint="eastAsia" w:ascii="仿宋" w:hAnsi="仿宋" w:eastAsia="仿宋" w:cs="仿宋"/>
          <w:b w:val="0"/>
          <w:sz w:val="32"/>
          <w:szCs w:val="32"/>
        </w:rPr>
        <w:t>交底，加强作业人员安全生产教育和培训</w:t>
      </w:r>
      <w:r>
        <w:rPr>
          <w:rFonts w:hint="eastAsia" w:ascii="仿宋" w:hAnsi="仿宋" w:eastAsia="仿宋" w:cs="仿宋"/>
          <w:b w:val="0"/>
          <w:sz w:val="32"/>
          <w:szCs w:val="32"/>
          <w:lang w:eastAsia="zh-CN"/>
        </w:rPr>
        <w:t>，</w:t>
      </w:r>
      <w:r>
        <w:rPr>
          <w:rFonts w:hint="eastAsia" w:ascii="仿宋" w:hAnsi="仿宋" w:eastAsia="仿宋" w:cs="仿宋"/>
          <w:b w:val="0"/>
          <w:sz w:val="32"/>
          <w:szCs w:val="32"/>
        </w:rPr>
        <w:t>提高作业人员安全知识，培养职工自我防护安全意识</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杜绝此类事故再次发生</w:t>
      </w:r>
      <w:r>
        <w:rPr>
          <w:rFonts w:hint="eastAsia" w:ascii="仿宋" w:hAnsi="仿宋" w:eastAsia="仿宋" w:cs="仿宋"/>
          <w:b w:val="0"/>
          <w:sz w:val="32"/>
          <w:szCs w:val="32"/>
        </w:rPr>
        <w:t>。</w:t>
      </w:r>
    </w:p>
    <w:p w14:paraId="1604029E">
      <w:pPr>
        <w:keepNext w:val="0"/>
        <w:keepLines w:val="0"/>
        <w:pageBreakBefore w:val="0"/>
        <w:widowControl w:val="0"/>
        <w:numPr>
          <w:ilvl w:val="0"/>
          <w:numId w:val="5"/>
        </w:numPr>
        <w:kinsoku/>
        <w:wordWrap/>
        <w:overflowPunct/>
        <w:topLinePunct w:val="0"/>
        <w:autoSpaceDN/>
        <w:bidi w:val="0"/>
        <w:adjustRightInd/>
        <w:snapToGrid/>
        <w:spacing w:line="360" w:lineRule="auto"/>
        <w:ind w:firstLine="640"/>
        <w:textAlignment w:val="auto"/>
        <w:rPr>
          <w:rFonts w:hint="eastAsia" w:ascii="仿宋" w:hAnsi="仿宋" w:eastAsia="仿宋" w:cs="仿宋"/>
          <w:b w:val="0"/>
          <w:sz w:val="32"/>
          <w:szCs w:val="32"/>
        </w:rPr>
      </w:pPr>
      <w:r>
        <w:rPr>
          <w:rFonts w:hint="eastAsia" w:ascii="仿宋" w:hAnsi="仿宋" w:eastAsia="仿宋" w:cs="仿宋"/>
          <w:b w:val="0"/>
          <w:bCs w:val="0"/>
          <w:sz w:val="32"/>
          <w:szCs w:val="32"/>
          <w:lang w:val="en-US" w:eastAsia="zh-CN"/>
        </w:rPr>
        <w:t>本期事件虽为意外事件，但辽宁亿方建筑工程咨询有限责任公司在安全管理上仍然存在不足，停工期间安全措施不健全，建议由昌图县应急管理局依据安全生产法另案处理。</w:t>
      </w:r>
    </w:p>
    <w:p w14:paraId="37FB29FD">
      <w:pPr>
        <w:spacing w:line="560" w:lineRule="exact"/>
        <w:ind w:firstLine="662" w:firstLineChars="200"/>
        <w:jc w:val="lef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附：</w:t>
      </w:r>
      <w:r>
        <w:rPr>
          <w:rFonts w:hint="eastAsia" w:ascii="仿宋" w:hAnsi="仿宋" w:eastAsia="仿宋" w:cs="仿宋"/>
          <w:sz w:val="32"/>
          <w:szCs w:val="32"/>
          <w:lang w:val="en-US" w:eastAsia="zh-CN"/>
        </w:rPr>
        <w:t>铁岭昌图辽宁大唐国际昌图宋家街150MW风电新建工程“5·18”触电死亡事件</w:t>
      </w:r>
      <w:r>
        <w:rPr>
          <w:rFonts w:hint="eastAsia" w:ascii="方正仿宋_GB2312" w:hAnsi="方正仿宋_GB2312" w:eastAsia="方正仿宋_GB2312" w:cs="方正仿宋_GB2312"/>
          <w:b w:val="0"/>
          <w:bCs w:val="0"/>
          <w:sz w:val="32"/>
          <w:szCs w:val="32"/>
        </w:rPr>
        <w:t>调查报告</w:t>
      </w:r>
      <w:r>
        <w:rPr>
          <w:rFonts w:hint="eastAsia" w:ascii="方正仿宋_GB2312" w:hAnsi="方正仿宋_GB2312" w:eastAsia="方正仿宋_GB2312" w:cs="方正仿宋_GB2312"/>
          <w:sz w:val="32"/>
          <w:szCs w:val="32"/>
          <w:lang w:val="en-US" w:eastAsia="zh-CN"/>
        </w:rPr>
        <w:t>签字页。</w:t>
      </w:r>
    </w:p>
    <w:p w14:paraId="36C9937B">
      <w:pPr>
        <w:keepNext w:val="0"/>
        <w:keepLines w:val="0"/>
        <w:pageBreakBefore w:val="0"/>
        <w:kinsoku/>
        <w:wordWrap/>
        <w:overflowPunct/>
        <w:topLinePunct w:val="0"/>
        <w:autoSpaceDE/>
        <w:autoSpaceDN/>
        <w:bidi w:val="0"/>
        <w:adjustRightInd/>
        <w:spacing w:line="240" w:lineRule="auto"/>
        <w:textAlignment w:val="auto"/>
        <w:rPr>
          <w:rFonts w:hint="eastAsia" w:ascii="方正仿宋_GB2312" w:hAnsi="方正仿宋_GB2312" w:eastAsia="方正仿宋_GB2312" w:cs="方正仿宋_GB2312"/>
          <w:sz w:val="32"/>
          <w:szCs w:val="32"/>
          <w:lang w:val="en-US" w:eastAsia="zh-CN"/>
        </w:rPr>
      </w:pPr>
      <w:r>
        <w:rPr>
          <w:rStyle w:val="7"/>
          <w:rFonts w:hint="eastAsia" w:ascii="方正仿宋_GB2312" w:hAnsi="方正仿宋_GB2312" w:eastAsia="方正仿宋_GB2312" w:cs="方正仿宋_GB2312"/>
          <w:kern w:val="2"/>
          <w:sz w:val="32"/>
          <w:szCs w:val="32"/>
          <w:lang w:val="en-US" w:eastAsia="zh-CN" w:bidi="ar"/>
        </w:rPr>
        <w:t xml:space="preserve">        </w:t>
      </w:r>
      <w:r>
        <w:rPr>
          <w:rFonts w:hint="eastAsia" w:ascii="方正仿宋_GB2312" w:hAnsi="方正仿宋_GB2312" w:eastAsia="方正仿宋_GB2312" w:cs="方正仿宋_GB2312"/>
          <w:sz w:val="32"/>
          <w:szCs w:val="32"/>
          <w:lang w:val="en-US" w:eastAsia="zh-CN"/>
        </w:rPr>
        <w:t xml:space="preserve">         </w:t>
      </w:r>
    </w:p>
    <w:p w14:paraId="15A2F5FB">
      <w:pPr>
        <w:keepNext w:val="0"/>
        <w:keepLines w:val="0"/>
        <w:pageBreakBefore w:val="0"/>
        <w:kinsoku/>
        <w:wordWrap/>
        <w:overflowPunct/>
        <w:topLinePunct w:val="0"/>
        <w:autoSpaceDE/>
        <w:autoSpaceDN/>
        <w:bidi w:val="0"/>
        <w:adjustRightInd/>
        <w:spacing w:line="240" w:lineRule="auto"/>
        <w:ind w:firstLine="3972" w:firstLineChars="1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铁岭市人民政府事故调查组</w:t>
      </w:r>
    </w:p>
    <w:p w14:paraId="5500075F">
      <w:pPr>
        <w:keepNext w:val="0"/>
        <w:keepLines w:val="0"/>
        <w:pageBreakBefore w:val="0"/>
        <w:kinsoku/>
        <w:wordWrap/>
        <w:overflowPunct/>
        <w:topLinePunct w:val="0"/>
        <w:autoSpaceDE/>
        <w:autoSpaceDN/>
        <w:bidi w:val="0"/>
        <w:adjustRightInd/>
        <w:spacing w:line="240" w:lineRule="auto"/>
        <w:ind w:firstLine="4634" w:firstLineChars="1400"/>
        <w:textAlignment w:val="auto"/>
        <w:rPr>
          <w:rFonts w:hint="eastAsia" w:ascii="仿宋_GB2312" w:hAnsi="仿宋_GB2312" w:eastAsia="仿宋_GB2312" w:cs="仿宋_GB2312"/>
          <w:sz w:val="32"/>
          <w:szCs w:val="32"/>
        </w:rPr>
        <w:sectPr>
          <w:footerReference r:id="rId3" w:type="default"/>
          <w:footerReference r:id="rId4" w:type="even"/>
          <w:pgSz w:w="11906" w:h="16838"/>
          <w:pgMar w:top="1814" w:right="1474" w:bottom="1814" w:left="1474" w:header="851" w:footer="992" w:gutter="0"/>
          <w:pgNumType w:fmt="decimal" w:start="1"/>
          <w:cols w:space="720" w:num="1"/>
          <w:rtlGutter w:val="0"/>
          <w:docGrid w:type="linesAndChars" w:linePitch="318" w:charSpace="2278"/>
        </w:sectPr>
      </w:pPr>
      <w:r>
        <w:rPr>
          <w:rFonts w:hint="eastAsia" w:ascii="方正仿宋_GB2312" w:hAnsi="方正仿宋_GB2312" w:eastAsia="方正仿宋_GB2312" w:cs="方正仿宋_GB2312"/>
          <w:sz w:val="32"/>
          <w:szCs w:val="32"/>
          <w:lang w:eastAsia="zh-CN"/>
        </w:rPr>
        <w:t>202</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eastAsia="zh-CN"/>
        </w:rPr>
        <w:t>年</w:t>
      </w: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lang w:eastAsia="zh-CN"/>
        </w:rPr>
        <w:t>月</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lang w:eastAsia="zh-CN"/>
        </w:rPr>
        <w:t>日</w:t>
      </w:r>
    </w:p>
    <w:p w14:paraId="771F8B5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11996">
    <w:pPr>
      <w:pStyle w:val="3"/>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721906">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8721906">
                    <w:pPr>
                      <w:pStyle w:val="3"/>
                    </w:pPr>
                    <w:r>
                      <w:fldChar w:fldCharType="begin"/>
                    </w:r>
                    <w:r>
                      <w:instrText xml:space="preserve"> PAGE  \* MERGEFORMAT </w:instrText>
                    </w:r>
                    <w:r>
                      <w:fldChar w:fldCharType="separate"/>
                    </w:r>
                    <w:r>
                      <w:t>1</w:t>
                    </w:r>
                    <w:r>
                      <w:fldChar w:fldCharType="end"/>
                    </w:r>
                  </w:p>
                </w:txbxContent>
              </v:textbox>
            </v:shape>
          </w:pict>
        </mc:Fallback>
      </mc:AlternateContent>
    </w:r>
  </w:p>
  <w:p w14:paraId="3830C215">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C5433">
    <w:pPr>
      <w:pStyle w:val="3"/>
      <w:framePr w:wrap="around" w:vAnchor="text" w:hAnchor="margin" w:xAlign="right" w:y="1"/>
      <w:rPr>
        <w:rStyle w:val="6"/>
      </w:rPr>
    </w:pPr>
    <w:r>
      <w:fldChar w:fldCharType="begin"/>
    </w:r>
    <w:r>
      <w:rPr>
        <w:rStyle w:val="6"/>
      </w:rPr>
      <w:instrText xml:space="preserve">PAGE  </w:instrText>
    </w:r>
    <w:r>
      <w:fldChar w:fldCharType="end"/>
    </w:r>
  </w:p>
  <w:p w14:paraId="5E2634D0">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55577"/>
    <w:multiLevelType w:val="singleLevel"/>
    <w:tmpl w:val="81E55577"/>
    <w:lvl w:ilvl="0" w:tentative="0">
      <w:start w:val="4"/>
      <w:numFmt w:val="chineseCounting"/>
      <w:suff w:val="nothing"/>
      <w:lvlText w:val="（%1）"/>
      <w:lvlJc w:val="left"/>
      <w:rPr>
        <w:rFonts w:hint="eastAsia"/>
      </w:rPr>
    </w:lvl>
  </w:abstractNum>
  <w:abstractNum w:abstractNumId="1">
    <w:nsid w:val="AD61435E"/>
    <w:multiLevelType w:val="singleLevel"/>
    <w:tmpl w:val="AD61435E"/>
    <w:lvl w:ilvl="0" w:tentative="0">
      <w:start w:val="1"/>
      <w:numFmt w:val="decimal"/>
      <w:suff w:val="nothing"/>
      <w:lvlText w:val="%1、"/>
      <w:lvlJc w:val="left"/>
    </w:lvl>
  </w:abstractNum>
  <w:abstractNum w:abstractNumId="2">
    <w:nsid w:val="AF8F1238"/>
    <w:multiLevelType w:val="singleLevel"/>
    <w:tmpl w:val="AF8F1238"/>
    <w:lvl w:ilvl="0" w:tentative="0">
      <w:start w:val="1"/>
      <w:numFmt w:val="chineseCounting"/>
      <w:suff w:val="nothing"/>
      <w:lvlText w:val="（%1）"/>
      <w:lvlJc w:val="left"/>
      <w:pPr>
        <w:ind w:left="640" w:firstLine="0"/>
      </w:pPr>
      <w:rPr>
        <w:rFonts w:hint="eastAsia"/>
      </w:rPr>
    </w:lvl>
  </w:abstractNum>
  <w:abstractNum w:abstractNumId="3">
    <w:nsid w:val="3CB9E74A"/>
    <w:multiLevelType w:val="singleLevel"/>
    <w:tmpl w:val="3CB9E74A"/>
    <w:lvl w:ilvl="0" w:tentative="0">
      <w:start w:val="1"/>
      <w:numFmt w:val="chineseCounting"/>
      <w:suff w:val="nothing"/>
      <w:lvlText w:val="（%1）"/>
      <w:lvlJc w:val="left"/>
      <w:rPr>
        <w:rFonts w:hint="eastAsia"/>
      </w:rPr>
    </w:lvl>
  </w:abstractNum>
  <w:abstractNum w:abstractNumId="4">
    <w:nsid w:val="571E0833"/>
    <w:multiLevelType w:val="singleLevel"/>
    <w:tmpl w:val="571E0833"/>
    <w:lvl w:ilvl="0" w:tentative="0">
      <w:start w:val="2"/>
      <w:numFmt w:val="chineseCounting"/>
      <w:suff w:val="nothing"/>
      <w:lvlText w:val="%1、"/>
      <w:lvlJc w:val="left"/>
      <w:rPr>
        <w:rFonts w:hint="eastAsia"/>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983228"/>
    <w:rsid w:val="62983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customStyle="1" w:styleId="7">
    <w:name w:val="15"/>
    <w:basedOn w:val="5"/>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2024-12-13T00:54:00Z</dcterms:created>
  <dc:creator>周吉</dc:creator>
  <cp:lastModifiedBy>周吉</cp:lastModifiedBy>
  <dcterms:modified xsi:type="dcterms:W3CDTF">2024-12-13T00:55:03Z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911693C85FE54DB6BF74BD27AE904FE1_11</vt:lpwstr>
  </property>
</Properties>
</file>