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6757B">
      <w:pPr>
        <w:jc w:val="left"/>
        <w:rPr>
          <w:rFonts w:ascii="楷体_GB2312" w:eastAsia="楷体_GB2312"/>
          <w:b/>
          <w:color w:val="000000"/>
          <w:sz w:val="30"/>
          <w:szCs w:val="30"/>
        </w:rPr>
      </w:pPr>
      <w:bookmarkStart w:id="0" w:name="_Toc213057561"/>
    </w:p>
    <w:p w14:paraId="204229C8">
      <w:pPr>
        <w:jc w:val="center"/>
        <w:rPr>
          <w:rFonts w:ascii="楷体_GB2312" w:eastAsia="楷体_GB2312"/>
          <w:b/>
          <w:color w:val="000000"/>
          <w:sz w:val="30"/>
          <w:szCs w:val="30"/>
        </w:rPr>
      </w:pPr>
    </w:p>
    <w:p w14:paraId="4DE49E8A">
      <w:pPr>
        <w:jc w:val="center"/>
        <w:rPr>
          <w:rFonts w:ascii="楷体_GB2312" w:eastAsia="楷体_GB2312"/>
          <w:b/>
          <w:color w:val="000000"/>
          <w:sz w:val="30"/>
          <w:szCs w:val="30"/>
        </w:rPr>
      </w:pPr>
    </w:p>
    <w:p w14:paraId="2CB05E5F">
      <w:pPr>
        <w:spacing w:line="360" w:lineRule="auto"/>
        <w:jc w:val="center"/>
        <w:rPr>
          <w:rFonts w:ascii="宋体" w:hAnsi="宋体" w:cs="宋体"/>
          <w:b/>
          <w:bCs/>
          <w:color w:val="000000"/>
          <w:sz w:val="48"/>
          <w:szCs w:val="48"/>
        </w:rPr>
      </w:pPr>
      <w:bookmarkStart w:id="1" w:name="_Toc23704"/>
      <w:bookmarkStart w:id="2" w:name="_Toc14018"/>
      <w:bookmarkStart w:id="3" w:name="_Toc5179"/>
      <w:r>
        <w:rPr>
          <w:rFonts w:hint="eastAsia" w:ascii="宋体" w:hAnsi="宋体" w:cs="宋体"/>
          <w:b/>
          <w:bCs/>
          <w:color w:val="000000"/>
          <w:spacing w:val="-30"/>
          <w:sz w:val="48"/>
          <w:szCs w:val="48"/>
        </w:rPr>
        <w:t>辽宁省铁岭县金家沟村建筑用白云岩、石英砂岩</w:t>
      </w:r>
    </w:p>
    <w:p w14:paraId="7A90CFEC">
      <w:pPr>
        <w:spacing w:line="360" w:lineRule="auto"/>
        <w:jc w:val="center"/>
        <w:rPr>
          <w:rFonts w:ascii="黑体" w:hAnsi="宋体" w:eastAsia="黑体" w:cs="宋体"/>
          <w:b/>
          <w:bCs/>
          <w:color w:val="000000"/>
          <w:sz w:val="52"/>
          <w:szCs w:val="52"/>
        </w:rPr>
      </w:pPr>
      <w:r>
        <w:rPr>
          <w:rFonts w:hint="eastAsia" w:ascii="黑体" w:hAnsi="宋体" w:eastAsia="黑体" w:cs="宋体"/>
          <w:b/>
          <w:bCs/>
          <w:color w:val="000000"/>
          <w:sz w:val="52"/>
          <w:szCs w:val="52"/>
        </w:rPr>
        <w:t>矿产资源开发利用方案</w:t>
      </w:r>
      <w:bookmarkEnd w:id="1"/>
      <w:bookmarkEnd w:id="2"/>
      <w:bookmarkEnd w:id="3"/>
    </w:p>
    <w:p w14:paraId="068CBDF5">
      <w:pPr>
        <w:jc w:val="center"/>
        <w:rPr>
          <w:rFonts w:ascii="仿宋_GB2312" w:eastAsia="仿宋_GB2312"/>
          <w:color w:val="000000"/>
          <w:sz w:val="28"/>
          <w:szCs w:val="28"/>
        </w:rPr>
      </w:pPr>
    </w:p>
    <w:p w14:paraId="701E35C6">
      <w:pPr>
        <w:jc w:val="center"/>
        <w:rPr>
          <w:rFonts w:ascii="仿宋_GB2312" w:eastAsia="仿宋_GB2312"/>
          <w:b/>
          <w:bCs/>
          <w:color w:val="000000"/>
          <w:sz w:val="30"/>
          <w:szCs w:val="30"/>
        </w:rPr>
      </w:pPr>
    </w:p>
    <w:p w14:paraId="788521BA">
      <w:pPr>
        <w:jc w:val="center"/>
        <w:rPr>
          <w:rFonts w:ascii="仿宋_GB2312" w:eastAsia="仿宋_GB2312"/>
          <w:color w:val="000000"/>
          <w:sz w:val="28"/>
          <w:szCs w:val="28"/>
        </w:rPr>
      </w:pPr>
    </w:p>
    <w:p w14:paraId="651B4F8F">
      <w:pPr>
        <w:jc w:val="center"/>
        <w:rPr>
          <w:rFonts w:ascii="仿宋_GB2312" w:eastAsia="仿宋_GB2312"/>
          <w:color w:val="000000"/>
          <w:sz w:val="28"/>
          <w:szCs w:val="28"/>
        </w:rPr>
      </w:pPr>
    </w:p>
    <w:p w14:paraId="7086968B">
      <w:pPr>
        <w:jc w:val="center"/>
        <w:rPr>
          <w:rFonts w:ascii="仿宋_GB2312" w:eastAsia="仿宋_GB2312"/>
          <w:color w:val="000000"/>
          <w:sz w:val="28"/>
          <w:szCs w:val="28"/>
        </w:rPr>
      </w:pPr>
    </w:p>
    <w:p w14:paraId="41A85AE4">
      <w:pPr>
        <w:jc w:val="center"/>
        <w:rPr>
          <w:rFonts w:ascii="仿宋_GB2312" w:eastAsia="仿宋_GB2312"/>
          <w:color w:val="000000"/>
          <w:sz w:val="28"/>
          <w:szCs w:val="28"/>
        </w:rPr>
      </w:pPr>
    </w:p>
    <w:p w14:paraId="47333975">
      <w:pPr>
        <w:jc w:val="center"/>
        <w:rPr>
          <w:rFonts w:ascii="仿宋_GB2312" w:eastAsia="仿宋_GB2312"/>
          <w:color w:val="000000"/>
          <w:sz w:val="28"/>
          <w:szCs w:val="28"/>
        </w:rPr>
      </w:pPr>
    </w:p>
    <w:p w14:paraId="0A839801">
      <w:pPr>
        <w:jc w:val="center"/>
        <w:rPr>
          <w:rFonts w:ascii="仿宋_GB2312" w:eastAsia="仿宋_GB2312"/>
          <w:color w:val="000000"/>
          <w:sz w:val="28"/>
          <w:szCs w:val="28"/>
        </w:rPr>
      </w:pPr>
    </w:p>
    <w:p w14:paraId="23350E44">
      <w:pPr>
        <w:jc w:val="center"/>
        <w:rPr>
          <w:rFonts w:ascii="仿宋_GB2312" w:eastAsia="仿宋_GB2312"/>
          <w:color w:val="000000"/>
          <w:sz w:val="28"/>
          <w:szCs w:val="28"/>
        </w:rPr>
      </w:pPr>
    </w:p>
    <w:p w14:paraId="5BAC8B1E">
      <w:pPr>
        <w:jc w:val="center"/>
        <w:rPr>
          <w:rFonts w:ascii="仿宋_GB2312" w:eastAsia="仿宋_GB2312"/>
          <w:color w:val="000000"/>
          <w:sz w:val="28"/>
          <w:szCs w:val="28"/>
        </w:rPr>
      </w:pPr>
    </w:p>
    <w:p w14:paraId="2AD38D71">
      <w:pPr>
        <w:jc w:val="center"/>
        <w:rPr>
          <w:rFonts w:ascii="仿宋_GB2312" w:eastAsia="仿宋_GB2312"/>
          <w:color w:val="000000"/>
          <w:sz w:val="28"/>
          <w:szCs w:val="28"/>
        </w:rPr>
      </w:pPr>
    </w:p>
    <w:p w14:paraId="50211759">
      <w:pPr>
        <w:jc w:val="center"/>
        <w:rPr>
          <w:rFonts w:ascii="仿宋_GB2312" w:eastAsia="仿宋_GB2312"/>
          <w:color w:val="000000"/>
          <w:sz w:val="28"/>
          <w:szCs w:val="28"/>
        </w:rPr>
      </w:pPr>
    </w:p>
    <w:p w14:paraId="344B4DD8">
      <w:pPr>
        <w:jc w:val="center"/>
        <w:rPr>
          <w:rFonts w:ascii="仿宋_GB2312" w:eastAsia="仿宋_GB2312"/>
          <w:color w:val="000000"/>
          <w:sz w:val="28"/>
          <w:szCs w:val="28"/>
        </w:rPr>
      </w:pPr>
    </w:p>
    <w:p w14:paraId="34872AAA">
      <w:pPr>
        <w:jc w:val="center"/>
        <w:rPr>
          <w:rFonts w:ascii="仿宋_GB2312" w:eastAsia="仿宋_GB2312"/>
          <w:color w:val="000000"/>
          <w:sz w:val="28"/>
          <w:szCs w:val="28"/>
        </w:rPr>
      </w:pPr>
    </w:p>
    <w:p w14:paraId="1834FB04">
      <w:pPr>
        <w:jc w:val="center"/>
        <w:rPr>
          <w:rFonts w:ascii="仿宋_GB2312" w:eastAsia="仿宋_GB2312"/>
          <w:color w:val="000000"/>
          <w:sz w:val="28"/>
          <w:szCs w:val="28"/>
        </w:rPr>
      </w:pPr>
    </w:p>
    <w:p w14:paraId="362577A7">
      <w:pPr>
        <w:jc w:val="center"/>
        <w:rPr>
          <w:rFonts w:ascii="仿宋_GB2312" w:eastAsia="仿宋_GB2312"/>
          <w:color w:val="000000"/>
          <w:sz w:val="28"/>
          <w:szCs w:val="28"/>
        </w:rPr>
      </w:pPr>
    </w:p>
    <w:p w14:paraId="7CD8D758">
      <w:pPr>
        <w:jc w:val="center"/>
        <w:rPr>
          <w:rFonts w:ascii="仿宋_GB2312" w:eastAsia="仿宋_GB2312"/>
          <w:color w:val="000000"/>
          <w:sz w:val="28"/>
          <w:szCs w:val="28"/>
        </w:rPr>
      </w:pPr>
    </w:p>
    <w:p w14:paraId="1AD7C52E">
      <w:pPr>
        <w:jc w:val="center"/>
        <w:rPr>
          <w:rFonts w:ascii="仿宋_GB2312" w:eastAsia="仿宋_GB2312"/>
          <w:color w:val="000000"/>
          <w:sz w:val="28"/>
          <w:szCs w:val="28"/>
        </w:rPr>
      </w:pPr>
    </w:p>
    <w:p w14:paraId="26E76737">
      <w:pPr>
        <w:jc w:val="center"/>
        <w:rPr>
          <w:rFonts w:ascii="仿宋_GB2312" w:eastAsia="仿宋_GB2312"/>
          <w:color w:val="000000"/>
          <w:sz w:val="28"/>
          <w:szCs w:val="28"/>
        </w:rPr>
      </w:pPr>
    </w:p>
    <w:p w14:paraId="5615C5EE">
      <w:pPr>
        <w:jc w:val="center"/>
        <w:rPr>
          <w:rFonts w:ascii="仿宋_GB2312" w:eastAsia="仿宋_GB2312"/>
          <w:color w:val="000000"/>
          <w:sz w:val="28"/>
          <w:szCs w:val="28"/>
        </w:rPr>
      </w:pPr>
    </w:p>
    <w:p w14:paraId="1A2763AA">
      <w:pPr>
        <w:jc w:val="center"/>
        <w:rPr>
          <w:rFonts w:ascii="仿宋_GB2312" w:eastAsia="仿宋_GB2312"/>
          <w:color w:val="000000"/>
          <w:sz w:val="28"/>
          <w:szCs w:val="28"/>
        </w:rPr>
      </w:pPr>
    </w:p>
    <w:p w14:paraId="4A35D1C7">
      <w:pPr>
        <w:jc w:val="center"/>
        <w:rPr>
          <w:rFonts w:ascii="仿宋_GB2312" w:eastAsia="仿宋_GB2312"/>
          <w:color w:val="000000"/>
          <w:sz w:val="28"/>
          <w:szCs w:val="28"/>
        </w:rPr>
      </w:pPr>
    </w:p>
    <w:p w14:paraId="7DD45307">
      <w:pPr>
        <w:jc w:val="center"/>
        <w:rPr>
          <w:rFonts w:ascii="仿宋_GB2312" w:eastAsia="仿宋_GB2312"/>
          <w:color w:val="000000"/>
          <w:sz w:val="28"/>
          <w:szCs w:val="28"/>
        </w:rPr>
      </w:pPr>
    </w:p>
    <w:p w14:paraId="6CDA3BBC">
      <w:pPr>
        <w:jc w:val="center"/>
        <w:rPr>
          <w:rFonts w:ascii="宋体" w:hAnsi="宋体" w:cs="宋体"/>
          <w:spacing w:val="8"/>
          <w:sz w:val="44"/>
          <w:szCs w:val="44"/>
        </w:rPr>
      </w:pPr>
      <w:r>
        <w:rPr>
          <w:rFonts w:hint="eastAsia" w:ascii="宋体" w:hAnsi="宋体" w:cs="宋体"/>
          <w:spacing w:val="8"/>
          <w:sz w:val="44"/>
          <w:szCs w:val="44"/>
        </w:rPr>
        <w:t>铁岭县自然资源局</w:t>
      </w:r>
    </w:p>
    <w:p w14:paraId="06528527">
      <w:pPr>
        <w:jc w:val="center"/>
        <w:rPr>
          <w:rFonts w:ascii="宋体" w:hAnsi="宋体" w:cs="宋体"/>
          <w:spacing w:val="8"/>
          <w:sz w:val="44"/>
          <w:szCs w:val="44"/>
        </w:rPr>
      </w:pPr>
      <w:r>
        <w:rPr>
          <w:rFonts w:hint="eastAsia" w:ascii="宋体" w:hAnsi="宋体" w:cs="宋体"/>
          <w:spacing w:val="8"/>
          <w:sz w:val="44"/>
          <w:szCs w:val="44"/>
        </w:rPr>
        <w:t>2025年4月</w:t>
      </w:r>
    </w:p>
    <w:p w14:paraId="1266DE79">
      <w:pPr>
        <w:jc w:val="left"/>
        <w:rPr>
          <w:rFonts w:ascii="楷体_GB2312" w:eastAsia="楷体_GB2312"/>
          <w:b/>
          <w:color w:val="2F18D8"/>
          <w:sz w:val="30"/>
          <w:szCs w:val="30"/>
        </w:rPr>
      </w:pPr>
      <w:r>
        <w:rPr>
          <w:rFonts w:hint="eastAsia" w:ascii="仿宋" w:hAnsi="仿宋" w:eastAsia="仿宋" w:cs="仿宋"/>
          <w:b/>
          <w:color w:val="000000"/>
          <w:sz w:val="36"/>
          <w:szCs w:val="36"/>
        </w:rPr>
        <w:br w:type="page"/>
      </w:r>
    </w:p>
    <w:p w14:paraId="5E45A265">
      <w:pPr>
        <w:jc w:val="center"/>
        <w:rPr>
          <w:rFonts w:ascii="宋体" w:hAnsi="宋体" w:cs="宋体"/>
          <w:color w:val="2F18D8"/>
          <w:sz w:val="44"/>
          <w:szCs w:val="44"/>
        </w:rPr>
      </w:pPr>
    </w:p>
    <w:p w14:paraId="31FFE9A1">
      <w:pPr>
        <w:jc w:val="center"/>
        <w:rPr>
          <w:rFonts w:ascii="宋体" w:hAnsi="宋体" w:cs="宋体"/>
          <w:color w:val="2F18D8"/>
          <w:sz w:val="44"/>
          <w:szCs w:val="44"/>
        </w:rPr>
      </w:pPr>
    </w:p>
    <w:p w14:paraId="5CD1F8FD">
      <w:pPr>
        <w:spacing w:line="360" w:lineRule="auto"/>
        <w:jc w:val="center"/>
        <w:rPr>
          <w:rFonts w:ascii="宋体" w:hAnsi="宋体" w:cs="宋体"/>
          <w:b/>
          <w:bCs/>
          <w:color w:val="000000"/>
          <w:sz w:val="48"/>
          <w:szCs w:val="48"/>
        </w:rPr>
      </w:pPr>
      <w:r>
        <w:rPr>
          <w:rFonts w:hint="eastAsia" w:ascii="宋体" w:hAnsi="宋体" w:cs="宋体"/>
          <w:b/>
          <w:bCs/>
          <w:color w:val="000000"/>
          <w:spacing w:val="-30"/>
          <w:sz w:val="48"/>
          <w:szCs w:val="48"/>
        </w:rPr>
        <w:t>辽宁省铁岭县金家沟村建筑用白云岩、石英砂岩</w:t>
      </w:r>
      <w:r>
        <w:rPr>
          <w:rFonts w:hint="eastAsia" w:ascii="黑体" w:hAnsi="宋体" w:eastAsia="黑体" w:cs="宋体"/>
          <w:b/>
          <w:bCs/>
          <w:color w:val="000000"/>
          <w:sz w:val="52"/>
          <w:szCs w:val="52"/>
        </w:rPr>
        <w:t>矿产资源开发利用方案</w:t>
      </w:r>
    </w:p>
    <w:p w14:paraId="1071144D">
      <w:pPr>
        <w:jc w:val="center"/>
        <w:rPr>
          <w:rFonts w:ascii="宋体" w:hAnsi="宋体" w:cs="宋体"/>
          <w:b/>
          <w:bCs/>
          <w:color w:val="000000"/>
          <w:sz w:val="48"/>
          <w:szCs w:val="48"/>
        </w:rPr>
      </w:pPr>
    </w:p>
    <w:p w14:paraId="7E763703">
      <w:pPr>
        <w:jc w:val="center"/>
        <w:rPr>
          <w:rFonts w:ascii="宋体" w:hAnsi="宋体"/>
          <w:color w:val="2F18D8"/>
          <w:sz w:val="28"/>
          <w:szCs w:val="28"/>
        </w:rPr>
      </w:pPr>
    </w:p>
    <w:p w14:paraId="27093569">
      <w:pPr>
        <w:jc w:val="center"/>
        <w:rPr>
          <w:rFonts w:ascii="宋体" w:hAnsi="宋体"/>
          <w:sz w:val="28"/>
          <w:szCs w:val="28"/>
        </w:rPr>
      </w:pPr>
    </w:p>
    <w:p w14:paraId="4F3902A0">
      <w:pPr>
        <w:jc w:val="center"/>
        <w:rPr>
          <w:rFonts w:ascii="宋体" w:hAnsi="宋体"/>
          <w:color w:val="2F18D8"/>
          <w:sz w:val="28"/>
          <w:szCs w:val="28"/>
        </w:rPr>
      </w:pPr>
    </w:p>
    <w:p w14:paraId="25649CA4">
      <w:pPr>
        <w:ind w:left="1680" w:leftChars="800"/>
        <w:rPr>
          <w:rFonts w:ascii="宋体" w:hAnsi="宋体" w:cs="宋体"/>
          <w:sz w:val="32"/>
          <w:szCs w:val="32"/>
        </w:rPr>
      </w:pPr>
    </w:p>
    <w:p w14:paraId="28BC9C4E">
      <w:pPr>
        <w:ind w:left="1680" w:leftChars="800"/>
        <w:rPr>
          <w:rFonts w:ascii="宋体" w:hAnsi="宋体" w:cs="宋体"/>
          <w:sz w:val="32"/>
          <w:szCs w:val="32"/>
        </w:rPr>
      </w:pPr>
    </w:p>
    <w:p w14:paraId="3ACE336F">
      <w:pPr>
        <w:ind w:left="1680" w:leftChars="800"/>
        <w:rPr>
          <w:rFonts w:ascii="宋体" w:hAnsi="宋体" w:cs="宋体"/>
          <w:sz w:val="32"/>
          <w:szCs w:val="32"/>
        </w:rPr>
      </w:pPr>
    </w:p>
    <w:p w14:paraId="75E857ED">
      <w:pPr>
        <w:ind w:left="1680" w:leftChars="800"/>
        <w:rPr>
          <w:rFonts w:ascii="宋体" w:hAnsi="宋体" w:cs="宋体"/>
          <w:sz w:val="32"/>
          <w:szCs w:val="32"/>
        </w:rPr>
      </w:pPr>
    </w:p>
    <w:p w14:paraId="6E027B1C">
      <w:pPr>
        <w:ind w:left="1680" w:leftChars="800"/>
        <w:rPr>
          <w:rFonts w:ascii="宋体" w:hAnsi="宋体" w:cs="宋体"/>
          <w:sz w:val="32"/>
          <w:szCs w:val="32"/>
        </w:rPr>
      </w:pPr>
    </w:p>
    <w:p w14:paraId="0F010B8B">
      <w:pPr>
        <w:ind w:left="1680" w:leftChars="800"/>
        <w:rPr>
          <w:rFonts w:ascii="宋体" w:hAnsi="宋体" w:cs="宋体"/>
          <w:sz w:val="32"/>
          <w:szCs w:val="32"/>
        </w:rPr>
      </w:pPr>
    </w:p>
    <w:p w14:paraId="1F94F646">
      <w:pPr>
        <w:ind w:left="1680" w:leftChars="800"/>
        <w:rPr>
          <w:rFonts w:ascii="宋体" w:hAnsi="宋体" w:cs="宋体"/>
          <w:sz w:val="32"/>
          <w:szCs w:val="32"/>
        </w:rPr>
      </w:pPr>
    </w:p>
    <w:p w14:paraId="5E910ADE">
      <w:pPr>
        <w:ind w:left="1680" w:leftChars="800"/>
        <w:rPr>
          <w:rFonts w:ascii="宋体" w:hAnsi="宋体" w:cs="宋体"/>
          <w:sz w:val="32"/>
          <w:szCs w:val="32"/>
        </w:rPr>
      </w:pPr>
    </w:p>
    <w:p w14:paraId="7223204F">
      <w:pPr>
        <w:ind w:left="1680" w:leftChars="800"/>
        <w:rPr>
          <w:rFonts w:ascii="宋体" w:hAnsi="宋体" w:cs="宋体"/>
          <w:sz w:val="32"/>
          <w:szCs w:val="32"/>
        </w:rPr>
      </w:pPr>
    </w:p>
    <w:p w14:paraId="15E1D805">
      <w:pPr>
        <w:ind w:left="1680" w:leftChars="800"/>
        <w:rPr>
          <w:rFonts w:ascii="宋体" w:hAnsi="宋体" w:cs="宋体"/>
          <w:sz w:val="32"/>
          <w:szCs w:val="32"/>
        </w:rPr>
      </w:pPr>
    </w:p>
    <w:p w14:paraId="5FA291F4">
      <w:pPr>
        <w:ind w:left="1680" w:leftChars="800"/>
        <w:rPr>
          <w:rFonts w:ascii="宋体" w:hAnsi="宋体" w:cs="宋体"/>
          <w:sz w:val="32"/>
          <w:szCs w:val="32"/>
        </w:rPr>
      </w:pPr>
    </w:p>
    <w:p w14:paraId="336CDC62">
      <w:pPr>
        <w:ind w:left="1680" w:leftChars="800"/>
        <w:rPr>
          <w:rFonts w:ascii="宋体" w:hAnsi="宋体" w:cs="宋体"/>
          <w:sz w:val="32"/>
          <w:szCs w:val="32"/>
        </w:rPr>
      </w:pPr>
    </w:p>
    <w:p w14:paraId="55F27DAF">
      <w:pPr>
        <w:ind w:left="1680" w:leftChars="800"/>
        <w:rPr>
          <w:rFonts w:ascii="宋体" w:hAnsi="宋体" w:cs="宋体"/>
          <w:sz w:val="32"/>
          <w:szCs w:val="32"/>
        </w:rPr>
      </w:pPr>
    </w:p>
    <w:p w14:paraId="2AD34D0A">
      <w:pPr>
        <w:spacing w:line="360" w:lineRule="auto"/>
        <w:ind w:left="1470" w:leftChars="700"/>
        <w:rPr>
          <w:rFonts w:ascii="宋体" w:hAnsi="宋体" w:cs="宋体"/>
          <w:color w:val="000000"/>
          <w:spacing w:val="10"/>
          <w:sz w:val="32"/>
          <w:szCs w:val="32"/>
        </w:rPr>
      </w:pPr>
      <w:r>
        <w:rPr>
          <w:rFonts w:hint="eastAsia" w:ascii="宋体" w:hAnsi="宋体" w:cs="宋体"/>
          <w:sz w:val="32"/>
          <w:szCs w:val="32"/>
        </w:rPr>
        <w:t>编 制 单 位：辽宁省第九地质大队有限责任公司</w:t>
      </w:r>
    </w:p>
    <w:p w14:paraId="32859A8D">
      <w:pPr>
        <w:spacing w:line="360" w:lineRule="auto"/>
        <w:ind w:left="1470" w:leftChars="700"/>
        <w:rPr>
          <w:rFonts w:ascii="宋体" w:hAnsi="宋体" w:cs="宋体"/>
          <w:color w:val="000000"/>
          <w:spacing w:val="10"/>
          <w:sz w:val="32"/>
          <w:szCs w:val="32"/>
        </w:rPr>
      </w:pPr>
      <w:r>
        <w:rPr>
          <w:rFonts w:hint="eastAsia" w:ascii="宋体" w:hAnsi="宋体" w:cs="宋体"/>
          <w:color w:val="000000"/>
          <w:spacing w:val="10"/>
          <w:sz w:val="32"/>
          <w:szCs w:val="32"/>
        </w:rPr>
        <w:t>法定代表人：王  波</w:t>
      </w:r>
    </w:p>
    <w:p w14:paraId="018AD463">
      <w:pPr>
        <w:spacing w:line="360" w:lineRule="auto"/>
        <w:ind w:left="1470" w:leftChars="700"/>
        <w:rPr>
          <w:rFonts w:ascii="宋体" w:hAnsi="宋体" w:cs="宋体"/>
          <w:color w:val="000000"/>
          <w:spacing w:val="10"/>
          <w:sz w:val="32"/>
          <w:szCs w:val="32"/>
        </w:rPr>
      </w:pPr>
      <w:r>
        <w:rPr>
          <w:rFonts w:hint="eastAsia" w:ascii="宋体" w:hAnsi="宋体" w:cs="宋体"/>
          <w:color w:val="000000"/>
          <w:spacing w:val="10"/>
          <w:sz w:val="32"/>
          <w:szCs w:val="32"/>
        </w:rPr>
        <w:t>总工 程 师：姜宝军</w:t>
      </w:r>
    </w:p>
    <w:p w14:paraId="21867538">
      <w:pPr>
        <w:spacing w:line="360" w:lineRule="auto"/>
        <w:ind w:left="1470" w:leftChars="700"/>
        <w:rPr>
          <w:rFonts w:ascii="宋体" w:hAnsi="宋体" w:cs="宋体"/>
          <w:color w:val="000000"/>
          <w:spacing w:val="10"/>
          <w:sz w:val="32"/>
          <w:szCs w:val="32"/>
        </w:rPr>
      </w:pPr>
      <w:r>
        <w:rPr>
          <w:rFonts w:hint="eastAsia" w:ascii="宋体" w:hAnsi="宋体" w:cs="宋体"/>
          <w:color w:val="000000"/>
          <w:spacing w:val="12"/>
          <w:sz w:val="32"/>
          <w:szCs w:val="32"/>
        </w:rPr>
        <w:t>项目负责人：</w:t>
      </w:r>
      <w:r>
        <w:rPr>
          <w:rFonts w:hint="eastAsia" w:ascii="宋体" w:hAnsi="宋体" w:cs="宋体"/>
          <w:color w:val="000000"/>
          <w:spacing w:val="10"/>
          <w:sz w:val="32"/>
          <w:szCs w:val="32"/>
        </w:rPr>
        <w:t>董爱宇</w:t>
      </w:r>
    </w:p>
    <w:p w14:paraId="3CA53FCD">
      <w:pPr>
        <w:tabs>
          <w:tab w:val="left" w:pos="3544"/>
        </w:tabs>
        <w:spacing w:line="360" w:lineRule="auto"/>
        <w:ind w:left="1470" w:leftChars="700"/>
        <w:rPr>
          <w:rFonts w:ascii="宋体" w:hAnsi="宋体" w:cs="宋体"/>
          <w:color w:val="000000"/>
          <w:sz w:val="32"/>
          <w:szCs w:val="32"/>
        </w:rPr>
        <w:sectPr>
          <w:pgSz w:w="11906" w:h="16838"/>
          <w:pgMar w:top="1429" w:right="1661" w:bottom="1208" w:left="1514" w:header="1020" w:footer="907" w:gutter="0"/>
          <w:cols w:space="0" w:num="1"/>
          <w:docGrid w:linePitch="312" w:charSpace="0"/>
        </w:sectPr>
      </w:pPr>
      <w:r>
        <w:rPr>
          <w:rFonts w:hint="eastAsia" w:ascii="宋体" w:hAnsi="宋体" w:cs="宋体"/>
          <w:color w:val="000000"/>
          <w:spacing w:val="10"/>
          <w:sz w:val="32"/>
          <w:szCs w:val="32"/>
        </w:rPr>
        <w:t>项目</w:t>
      </w:r>
      <w:r>
        <w:rPr>
          <w:rFonts w:ascii="宋体" w:hAnsi="宋体" w:cs="宋体"/>
          <w:color w:val="000000"/>
          <w:sz w:val="32"/>
          <w:szCs w:val="32"/>
        </w:rPr>
        <w:t>审核</w:t>
      </w:r>
      <w:r>
        <w:rPr>
          <w:rFonts w:hint="eastAsia" w:ascii="宋体" w:hAnsi="宋体" w:cs="宋体"/>
          <w:color w:val="000000"/>
          <w:spacing w:val="10"/>
          <w:sz w:val="32"/>
          <w:szCs w:val="32"/>
        </w:rPr>
        <w:t>人</w:t>
      </w:r>
      <w:r>
        <w:rPr>
          <w:rFonts w:ascii="宋体" w:hAnsi="宋体" w:cs="宋体"/>
          <w:color w:val="000000"/>
          <w:sz w:val="32"/>
          <w:szCs w:val="32"/>
        </w:rPr>
        <w:t>：张</w:t>
      </w:r>
      <w:r>
        <w:rPr>
          <w:rFonts w:hint="eastAsia" w:ascii="宋体" w:hAnsi="宋体" w:cs="宋体"/>
          <w:color w:val="000000"/>
          <w:sz w:val="32"/>
          <w:szCs w:val="32"/>
        </w:rPr>
        <w:t xml:space="preserve">   </w:t>
      </w:r>
      <w:r>
        <w:rPr>
          <w:rFonts w:ascii="宋体" w:hAnsi="宋体" w:cs="宋体"/>
          <w:color w:val="000000"/>
          <w:sz w:val="32"/>
          <w:szCs w:val="32"/>
        </w:rPr>
        <w:t>赫</w:t>
      </w:r>
    </w:p>
    <w:p w14:paraId="3E4142A3">
      <w:pPr>
        <w:spacing w:line="360" w:lineRule="auto"/>
        <w:jc w:val="center"/>
        <w:rPr>
          <w:rFonts w:ascii="方正小标宋简体" w:hAnsi="黑体" w:eastAsia="方正小标宋简体"/>
          <w:sz w:val="36"/>
          <w:szCs w:val="36"/>
        </w:rPr>
      </w:pPr>
    </w:p>
    <w:p w14:paraId="3782926C">
      <w:pPr>
        <w:spacing w:line="360" w:lineRule="auto"/>
        <w:jc w:val="center"/>
        <w:rPr>
          <w:rFonts w:ascii="方正小标宋简体" w:hAnsi="黑体" w:eastAsia="方正小标宋简体"/>
          <w:sz w:val="36"/>
          <w:szCs w:val="36"/>
        </w:rPr>
      </w:pPr>
      <w:r>
        <w:rPr>
          <w:rFonts w:hint="eastAsia" w:ascii="方正小标宋简体" w:hAnsi="黑体" w:eastAsia="方正小标宋简体"/>
          <w:sz w:val="36"/>
          <w:szCs w:val="36"/>
        </w:rPr>
        <w:t>开发利用方案编写人员名单表</w:t>
      </w:r>
    </w:p>
    <w:p w14:paraId="487C2478">
      <w:pPr>
        <w:spacing w:line="360" w:lineRule="auto"/>
        <w:jc w:val="center"/>
        <w:rPr>
          <w:rFonts w:ascii="方正小标宋简体" w:hAnsi="黑体" w:eastAsia="方正小标宋简体"/>
          <w:sz w:val="36"/>
          <w:szCs w:val="36"/>
        </w:rPr>
      </w:pPr>
    </w:p>
    <w:tbl>
      <w:tblPr>
        <w:tblStyle w:val="4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3"/>
        <w:gridCol w:w="1559"/>
        <w:gridCol w:w="1843"/>
        <w:gridCol w:w="2126"/>
        <w:gridCol w:w="1365"/>
      </w:tblGrid>
      <w:tr w14:paraId="08E90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8316" w:type="dxa"/>
            <w:gridSpan w:val="5"/>
            <w:vAlign w:val="center"/>
          </w:tcPr>
          <w:p w14:paraId="73D553CA">
            <w:pPr>
              <w:spacing w:line="360" w:lineRule="auto"/>
              <w:jc w:val="center"/>
              <w:rPr>
                <w:rFonts w:ascii="黑体" w:hAnsi="黑体" w:eastAsia="黑体" w:cs="宋体"/>
                <w:snapToGrid w:val="0"/>
                <w:sz w:val="28"/>
                <w:szCs w:val="28"/>
              </w:rPr>
            </w:pPr>
            <w:r>
              <w:rPr>
                <w:rFonts w:hint="eastAsia" w:ascii="黑体" w:hAnsi="黑体" w:eastAsia="黑体" w:cs="宋体"/>
                <w:snapToGrid w:val="0"/>
                <w:sz w:val="28"/>
                <w:szCs w:val="28"/>
              </w:rPr>
              <w:t>方案主编人</w:t>
            </w:r>
          </w:p>
        </w:tc>
      </w:tr>
      <w:tr w14:paraId="65128E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423" w:type="dxa"/>
            <w:vAlign w:val="center"/>
          </w:tcPr>
          <w:p w14:paraId="06A82695">
            <w:pPr>
              <w:spacing w:line="360" w:lineRule="auto"/>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姓名</w:t>
            </w:r>
          </w:p>
        </w:tc>
        <w:tc>
          <w:tcPr>
            <w:tcW w:w="1559" w:type="dxa"/>
            <w:vAlign w:val="center"/>
          </w:tcPr>
          <w:p w14:paraId="61F15582">
            <w:pPr>
              <w:spacing w:line="360" w:lineRule="auto"/>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职务</w:t>
            </w:r>
          </w:p>
        </w:tc>
        <w:tc>
          <w:tcPr>
            <w:tcW w:w="1843" w:type="dxa"/>
            <w:vAlign w:val="center"/>
          </w:tcPr>
          <w:p w14:paraId="02F3F9E4">
            <w:pPr>
              <w:spacing w:line="360" w:lineRule="auto"/>
              <w:jc w:val="center"/>
              <w:rPr>
                <w:rFonts w:ascii="黑体" w:hAnsi="黑体" w:eastAsia="黑体" w:cs="宋体"/>
                <w:snapToGrid w:val="0"/>
                <w:spacing w:val="7"/>
                <w:sz w:val="28"/>
                <w:szCs w:val="28"/>
              </w:rPr>
            </w:pPr>
            <w:r>
              <w:rPr>
                <w:rFonts w:hint="eastAsia" w:ascii="黑体" w:hAnsi="黑体" w:eastAsia="黑体" w:cs="宋体"/>
                <w:snapToGrid w:val="0"/>
                <w:spacing w:val="7"/>
                <w:sz w:val="28"/>
                <w:szCs w:val="28"/>
              </w:rPr>
              <w:t>专业</w:t>
            </w:r>
          </w:p>
        </w:tc>
        <w:tc>
          <w:tcPr>
            <w:tcW w:w="2126" w:type="dxa"/>
            <w:vAlign w:val="center"/>
          </w:tcPr>
          <w:p w14:paraId="796A2334">
            <w:pPr>
              <w:spacing w:line="360" w:lineRule="auto"/>
              <w:jc w:val="center"/>
              <w:rPr>
                <w:rFonts w:ascii="黑体" w:hAnsi="黑体" w:eastAsia="黑体" w:cs="宋体"/>
                <w:snapToGrid w:val="0"/>
                <w:spacing w:val="5"/>
                <w:sz w:val="28"/>
                <w:szCs w:val="28"/>
              </w:rPr>
            </w:pPr>
            <w:r>
              <w:rPr>
                <w:rFonts w:hint="eastAsia" w:ascii="黑体" w:hAnsi="黑体" w:eastAsia="黑体" w:cs="宋体"/>
                <w:snapToGrid w:val="0"/>
                <w:spacing w:val="5"/>
                <w:sz w:val="28"/>
                <w:szCs w:val="28"/>
              </w:rPr>
              <w:t>技术职称</w:t>
            </w:r>
          </w:p>
        </w:tc>
        <w:tc>
          <w:tcPr>
            <w:tcW w:w="1365" w:type="dxa"/>
            <w:vAlign w:val="center"/>
          </w:tcPr>
          <w:p w14:paraId="02902BBE">
            <w:pPr>
              <w:spacing w:line="360" w:lineRule="auto"/>
              <w:jc w:val="center"/>
              <w:rPr>
                <w:rFonts w:ascii="黑体" w:hAnsi="黑体" w:eastAsia="黑体" w:cs="宋体"/>
                <w:bCs/>
                <w:snapToGrid w:val="0"/>
                <w:spacing w:val="17"/>
                <w:sz w:val="28"/>
                <w:szCs w:val="28"/>
              </w:rPr>
            </w:pPr>
            <w:r>
              <w:rPr>
                <w:rFonts w:hint="eastAsia" w:ascii="黑体" w:hAnsi="黑体" w:eastAsia="黑体" w:cs="宋体"/>
                <w:bCs/>
                <w:snapToGrid w:val="0"/>
                <w:spacing w:val="17"/>
                <w:sz w:val="28"/>
                <w:szCs w:val="28"/>
              </w:rPr>
              <w:t>签名</w:t>
            </w:r>
          </w:p>
        </w:tc>
      </w:tr>
      <w:tr w14:paraId="040B21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1423" w:type="dxa"/>
            <w:vAlign w:val="center"/>
          </w:tcPr>
          <w:p w14:paraId="7293306E">
            <w:pPr>
              <w:spacing w:line="360" w:lineRule="auto"/>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董爱宇</w:t>
            </w:r>
          </w:p>
        </w:tc>
        <w:tc>
          <w:tcPr>
            <w:tcW w:w="1559" w:type="dxa"/>
            <w:vAlign w:val="center"/>
          </w:tcPr>
          <w:p w14:paraId="29BC8013">
            <w:pPr>
              <w:spacing w:line="360" w:lineRule="auto"/>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项目负责</w:t>
            </w:r>
          </w:p>
        </w:tc>
        <w:tc>
          <w:tcPr>
            <w:tcW w:w="1843" w:type="dxa"/>
            <w:vAlign w:val="center"/>
          </w:tcPr>
          <w:p w14:paraId="2326F80A">
            <w:pPr>
              <w:spacing w:line="360" w:lineRule="auto"/>
              <w:jc w:val="center"/>
              <w:rPr>
                <w:rFonts w:ascii="黑体" w:hAnsi="黑体" w:eastAsia="黑体" w:cs="宋体"/>
                <w:snapToGrid w:val="0"/>
                <w:spacing w:val="7"/>
                <w:sz w:val="28"/>
                <w:szCs w:val="28"/>
              </w:rPr>
            </w:pPr>
            <w:r>
              <w:rPr>
                <w:rFonts w:hint="eastAsia" w:ascii="黑体" w:hAnsi="黑体" w:eastAsia="黑体" w:cs="宋体"/>
                <w:snapToGrid w:val="0"/>
                <w:spacing w:val="7"/>
                <w:sz w:val="28"/>
                <w:szCs w:val="28"/>
              </w:rPr>
              <w:t>地质</w:t>
            </w:r>
          </w:p>
        </w:tc>
        <w:tc>
          <w:tcPr>
            <w:tcW w:w="2126" w:type="dxa"/>
            <w:vAlign w:val="center"/>
          </w:tcPr>
          <w:p w14:paraId="68F1CBD9">
            <w:pPr>
              <w:spacing w:line="360" w:lineRule="auto"/>
              <w:jc w:val="center"/>
              <w:rPr>
                <w:rFonts w:ascii="黑体" w:hAnsi="黑体" w:eastAsia="黑体" w:cs="宋体"/>
                <w:snapToGrid w:val="0"/>
                <w:spacing w:val="5"/>
                <w:sz w:val="28"/>
                <w:szCs w:val="28"/>
              </w:rPr>
            </w:pPr>
            <w:r>
              <w:rPr>
                <w:rFonts w:hint="eastAsia" w:ascii="黑体" w:hAnsi="黑体" w:eastAsia="黑体" w:cs="宋体"/>
                <w:snapToGrid w:val="0"/>
                <w:spacing w:val="5"/>
                <w:sz w:val="28"/>
                <w:szCs w:val="28"/>
              </w:rPr>
              <w:t>工程师</w:t>
            </w:r>
          </w:p>
        </w:tc>
        <w:tc>
          <w:tcPr>
            <w:tcW w:w="1365" w:type="dxa"/>
            <w:vAlign w:val="center"/>
          </w:tcPr>
          <w:p w14:paraId="600FC2C4">
            <w:pPr>
              <w:spacing w:line="360" w:lineRule="auto"/>
              <w:jc w:val="center"/>
              <w:rPr>
                <w:rFonts w:ascii="黑体" w:hAnsi="黑体" w:eastAsia="黑体" w:cs="宋体"/>
                <w:bCs/>
                <w:snapToGrid w:val="0"/>
                <w:spacing w:val="17"/>
                <w:sz w:val="28"/>
                <w:szCs w:val="28"/>
              </w:rPr>
            </w:pPr>
            <w:r>
              <w:rPr>
                <w:rFonts w:ascii="黑体" w:hAnsi="黑体" w:eastAsia="黑体" w:cs="宋体"/>
                <w:bCs/>
                <w:spacing w:val="17"/>
                <w:sz w:val="28"/>
                <w:szCs w:val="28"/>
              </w:rPr>
              <w:drawing>
                <wp:inline distT="0" distB="0" distL="0" distR="0">
                  <wp:extent cx="880110" cy="419100"/>
                  <wp:effectExtent l="19050" t="0" r="0" b="0"/>
                  <wp:docPr id="22" name="图片 9" descr="C:\Users\DAY\Desktop\175.175.177.121_0427112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descr="C:\Users\DAY\Desktop\175.175.177.121_0427112020.png"/>
                          <pic:cNvPicPr>
                            <a:picLocks noChangeAspect="1" noChangeArrowheads="1"/>
                          </pic:cNvPicPr>
                        </pic:nvPicPr>
                        <pic:blipFill>
                          <a:blip r:embed="rId10"/>
                          <a:srcRect/>
                          <a:stretch>
                            <a:fillRect/>
                          </a:stretch>
                        </pic:blipFill>
                        <pic:spPr>
                          <a:xfrm>
                            <a:off x="0" y="0"/>
                            <a:ext cx="878987" cy="418565"/>
                          </a:xfrm>
                          <a:prstGeom prst="rect">
                            <a:avLst/>
                          </a:prstGeom>
                          <a:noFill/>
                          <a:ln w="9525">
                            <a:noFill/>
                            <a:miter lim="800000"/>
                            <a:headEnd/>
                            <a:tailEnd/>
                          </a:ln>
                        </pic:spPr>
                      </pic:pic>
                    </a:graphicData>
                  </a:graphic>
                </wp:inline>
              </w:drawing>
            </w:r>
          </w:p>
        </w:tc>
      </w:tr>
      <w:tr w14:paraId="7F56F6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8316" w:type="dxa"/>
            <w:gridSpan w:val="5"/>
            <w:vAlign w:val="center"/>
          </w:tcPr>
          <w:p w14:paraId="662530E5">
            <w:pPr>
              <w:spacing w:line="360" w:lineRule="auto"/>
              <w:jc w:val="center"/>
              <w:rPr>
                <w:rFonts w:ascii="黑体" w:hAnsi="黑体" w:eastAsia="黑体" w:cs="宋体"/>
                <w:bCs/>
                <w:snapToGrid w:val="0"/>
                <w:spacing w:val="17"/>
                <w:sz w:val="28"/>
                <w:szCs w:val="28"/>
              </w:rPr>
            </w:pPr>
            <w:r>
              <w:rPr>
                <w:rFonts w:hint="eastAsia" w:ascii="黑体" w:hAnsi="黑体" w:eastAsia="黑体" w:cs="宋体"/>
                <w:bCs/>
                <w:snapToGrid w:val="0"/>
                <w:spacing w:val="17"/>
                <w:sz w:val="28"/>
                <w:szCs w:val="28"/>
              </w:rPr>
              <w:t>方案主要编写人员</w:t>
            </w:r>
          </w:p>
        </w:tc>
      </w:tr>
      <w:tr w14:paraId="751AE7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423" w:type="dxa"/>
            <w:vAlign w:val="center"/>
          </w:tcPr>
          <w:p w14:paraId="68D73DD7">
            <w:pPr>
              <w:spacing w:line="360" w:lineRule="auto"/>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序号</w:t>
            </w:r>
          </w:p>
        </w:tc>
        <w:tc>
          <w:tcPr>
            <w:tcW w:w="1559" w:type="dxa"/>
            <w:vAlign w:val="center"/>
          </w:tcPr>
          <w:p w14:paraId="716CCC01">
            <w:pPr>
              <w:spacing w:line="360" w:lineRule="auto"/>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编写人</w:t>
            </w:r>
          </w:p>
        </w:tc>
        <w:tc>
          <w:tcPr>
            <w:tcW w:w="1843" w:type="dxa"/>
            <w:vAlign w:val="center"/>
          </w:tcPr>
          <w:p w14:paraId="54C95DC0">
            <w:pPr>
              <w:spacing w:line="360" w:lineRule="auto"/>
              <w:jc w:val="center"/>
              <w:rPr>
                <w:rFonts w:ascii="黑体" w:hAnsi="黑体" w:eastAsia="黑体" w:cs="宋体"/>
                <w:snapToGrid w:val="0"/>
                <w:spacing w:val="7"/>
                <w:sz w:val="28"/>
                <w:szCs w:val="28"/>
              </w:rPr>
            </w:pPr>
            <w:r>
              <w:rPr>
                <w:rFonts w:hint="eastAsia" w:ascii="黑体" w:hAnsi="黑体" w:eastAsia="黑体" w:cs="宋体"/>
                <w:snapToGrid w:val="0"/>
                <w:spacing w:val="7"/>
                <w:sz w:val="28"/>
                <w:szCs w:val="28"/>
              </w:rPr>
              <w:t>专业</w:t>
            </w:r>
          </w:p>
        </w:tc>
        <w:tc>
          <w:tcPr>
            <w:tcW w:w="2126" w:type="dxa"/>
            <w:vAlign w:val="center"/>
          </w:tcPr>
          <w:p w14:paraId="531F38C1">
            <w:pPr>
              <w:spacing w:line="360" w:lineRule="auto"/>
              <w:jc w:val="center"/>
              <w:rPr>
                <w:rFonts w:ascii="黑体" w:hAnsi="黑体" w:eastAsia="黑体" w:cs="宋体"/>
                <w:snapToGrid w:val="0"/>
                <w:spacing w:val="5"/>
                <w:sz w:val="28"/>
                <w:szCs w:val="28"/>
              </w:rPr>
            </w:pPr>
            <w:r>
              <w:rPr>
                <w:rFonts w:hint="eastAsia" w:ascii="黑体" w:hAnsi="黑体" w:eastAsia="黑体" w:cs="宋体"/>
                <w:snapToGrid w:val="0"/>
                <w:spacing w:val="5"/>
                <w:sz w:val="28"/>
                <w:szCs w:val="28"/>
              </w:rPr>
              <w:t>技术职称</w:t>
            </w:r>
          </w:p>
        </w:tc>
        <w:tc>
          <w:tcPr>
            <w:tcW w:w="1365" w:type="dxa"/>
            <w:vAlign w:val="center"/>
          </w:tcPr>
          <w:p w14:paraId="21DD0CF7">
            <w:pPr>
              <w:spacing w:line="360" w:lineRule="auto"/>
              <w:jc w:val="center"/>
              <w:rPr>
                <w:rFonts w:ascii="黑体" w:hAnsi="黑体" w:eastAsia="黑体" w:cs="宋体"/>
                <w:bCs/>
                <w:snapToGrid w:val="0"/>
                <w:spacing w:val="17"/>
                <w:sz w:val="28"/>
                <w:szCs w:val="28"/>
              </w:rPr>
            </w:pPr>
            <w:r>
              <w:rPr>
                <w:rFonts w:hint="eastAsia" w:ascii="黑体" w:hAnsi="黑体" w:eastAsia="黑体" w:cs="宋体"/>
                <w:bCs/>
                <w:snapToGrid w:val="0"/>
                <w:spacing w:val="17"/>
                <w:sz w:val="28"/>
                <w:szCs w:val="28"/>
              </w:rPr>
              <w:t>签名</w:t>
            </w:r>
          </w:p>
        </w:tc>
      </w:tr>
      <w:tr w14:paraId="0C239A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423" w:type="dxa"/>
            <w:vAlign w:val="center"/>
          </w:tcPr>
          <w:p w14:paraId="41B529EB">
            <w:pPr>
              <w:spacing w:line="360" w:lineRule="auto"/>
              <w:jc w:val="center"/>
              <w:rPr>
                <w:rFonts w:ascii="黑体" w:hAnsi="黑体" w:eastAsia="黑体" w:cs="Arial"/>
                <w:snapToGrid w:val="0"/>
                <w:sz w:val="28"/>
                <w:szCs w:val="28"/>
              </w:rPr>
            </w:pPr>
            <w:r>
              <w:rPr>
                <w:rFonts w:hint="eastAsia" w:ascii="黑体" w:hAnsi="黑体" w:eastAsia="黑体" w:cs="Arial"/>
                <w:snapToGrid w:val="0"/>
                <w:sz w:val="28"/>
                <w:szCs w:val="28"/>
              </w:rPr>
              <w:t>1</w:t>
            </w:r>
          </w:p>
        </w:tc>
        <w:tc>
          <w:tcPr>
            <w:tcW w:w="1559" w:type="dxa"/>
            <w:vAlign w:val="center"/>
          </w:tcPr>
          <w:p w14:paraId="1CF922F9">
            <w:pPr>
              <w:spacing w:line="360" w:lineRule="auto"/>
              <w:jc w:val="center"/>
              <w:rPr>
                <w:rFonts w:ascii="黑体" w:hAnsi="黑体" w:eastAsia="黑体" w:cs="Arial"/>
                <w:snapToGrid w:val="0"/>
                <w:sz w:val="28"/>
                <w:szCs w:val="28"/>
              </w:rPr>
            </w:pPr>
            <w:r>
              <w:rPr>
                <w:rFonts w:hint="eastAsia" w:ascii="黑体" w:hAnsi="黑体" w:eastAsia="黑体" w:cs="Arial"/>
                <w:snapToGrid w:val="0"/>
                <w:sz w:val="28"/>
                <w:szCs w:val="28"/>
              </w:rPr>
              <w:t>张赫</w:t>
            </w:r>
          </w:p>
        </w:tc>
        <w:tc>
          <w:tcPr>
            <w:tcW w:w="1843" w:type="dxa"/>
            <w:vAlign w:val="center"/>
          </w:tcPr>
          <w:p w14:paraId="7D57ADB5">
            <w:pPr>
              <w:spacing w:line="360" w:lineRule="auto"/>
              <w:jc w:val="center"/>
              <w:rPr>
                <w:rFonts w:ascii="黑体" w:hAnsi="黑体" w:eastAsia="黑体" w:cs="宋体"/>
                <w:snapToGrid w:val="0"/>
                <w:spacing w:val="7"/>
                <w:sz w:val="28"/>
                <w:szCs w:val="28"/>
              </w:rPr>
            </w:pPr>
            <w:r>
              <w:rPr>
                <w:rFonts w:hint="eastAsia" w:ascii="黑体" w:hAnsi="黑体" w:eastAsia="黑体" w:cs="宋体"/>
                <w:snapToGrid w:val="0"/>
                <w:spacing w:val="7"/>
                <w:sz w:val="28"/>
                <w:szCs w:val="28"/>
              </w:rPr>
              <w:t>地质</w:t>
            </w:r>
          </w:p>
        </w:tc>
        <w:tc>
          <w:tcPr>
            <w:tcW w:w="2126" w:type="dxa"/>
            <w:vAlign w:val="center"/>
          </w:tcPr>
          <w:p w14:paraId="2DC80883">
            <w:pPr>
              <w:spacing w:line="360" w:lineRule="auto"/>
              <w:jc w:val="center"/>
              <w:rPr>
                <w:rFonts w:ascii="黑体" w:hAnsi="黑体" w:eastAsia="黑体" w:cs="宋体"/>
                <w:snapToGrid w:val="0"/>
                <w:spacing w:val="5"/>
                <w:sz w:val="28"/>
                <w:szCs w:val="28"/>
              </w:rPr>
            </w:pPr>
            <w:r>
              <w:rPr>
                <w:rFonts w:hint="eastAsia" w:ascii="黑体" w:hAnsi="黑体" w:eastAsia="黑体" w:cs="宋体"/>
                <w:snapToGrid w:val="0"/>
                <w:spacing w:val="5"/>
                <w:sz w:val="28"/>
                <w:szCs w:val="28"/>
              </w:rPr>
              <w:t>高级工程师</w:t>
            </w:r>
          </w:p>
        </w:tc>
        <w:tc>
          <w:tcPr>
            <w:tcW w:w="1365" w:type="dxa"/>
            <w:vAlign w:val="center"/>
          </w:tcPr>
          <w:p w14:paraId="65805768">
            <w:pPr>
              <w:spacing w:line="360" w:lineRule="auto"/>
              <w:jc w:val="center"/>
              <w:rPr>
                <w:rFonts w:ascii="黑体" w:hAnsi="黑体" w:eastAsia="黑体" w:cs="Arial"/>
                <w:snapToGrid w:val="0"/>
                <w:sz w:val="28"/>
                <w:szCs w:val="28"/>
              </w:rPr>
            </w:pPr>
            <w:r>
              <w:rPr>
                <w:rFonts w:ascii="黑体" w:hAnsi="黑体" w:eastAsia="黑体" w:cs="Arial"/>
                <w:sz w:val="28"/>
                <w:szCs w:val="28"/>
              </w:rPr>
              <w:drawing>
                <wp:inline distT="0" distB="0" distL="0" distR="0">
                  <wp:extent cx="719455" cy="330200"/>
                  <wp:effectExtent l="19050" t="0" r="3900" b="0"/>
                  <wp:docPr id="26" name="图片 13" descr="C:\Users\DAY\Desktop\175.175.177.121_0427112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3" descr="C:\Users\DAY\Desktop\175.175.177.121_0427112312.png"/>
                          <pic:cNvPicPr>
                            <a:picLocks noChangeAspect="1" noChangeArrowheads="1"/>
                          </pic:cNvPicPr>
                        </pic:nvPicPr>
                        <pic:blipFill>
                          <a:blip r:embed="rId11" cstate="print"/>
                          <a:srcRect/>
                          <a:stretch>
                            <a:fillRect/>
                          </a:stretch>
                        </pic:blipFill>
                        <pic:spPr>
                          <a:xfrm>
                            <a:off x="0" y="0"/>
                            <a:ext cx="720000" cy="330390"/>
                          </a:xfrm>
                          <a:prstGeom prst="rect">
                            <a:avLst/>
                          </a:prstGeom>
                          <a:noFill/>
                          <a:ln w="9525">
                            <a:noFill/>
                            <a:miter lim="800000"/>
                            <a:headEnd/>
                            <a:tailEnd/>
                          </a:ln>
                        </pic:spPr>
                      </pic:pic>
                    </a:graphicData>
                  </a:graphic>
                </wp:inline>
              </w:drawing>
            </w:r>
          </w:p>
        </w:tc>
      </w:tr>
      <w:tr w14:paraId="455ADC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423" w:type="dxa"/>
            <w:vAlign w:val="center"/>
          </w:tcPr>
          <w:p w14:paraId="58E1D59C">
            <w:pPr>
              <w:spacing w:line="360" w:lineRule="auto"/>
              <w:jc w:val="center"/>
              <w:rPr>
                <w:rFonts w:ascii="黑体" w:hAnsi="黑体" w:eastAsia="黑体" w:cs="Arial"/>
                <w:snapToGrid w:val="0"/>
                <w:sz w:val="28"/>
                <w:szCs w:val="28"/>
              </w:rPr>
            </w:pPr>
            <w:r>
              <w:rPr>
                <w:rFonts w:hint="eastAsia" w:ascii="黑体" w:hAnsi="黑体" w:eastAsia="黑体" w:cs="Arial"/>
                <w:snapToGrid w:val="0"/>
                <w:sz w:val="28"/>
                <w:szCs w:val="28"/>
              </w:rPr>
              <w:t>2</w:t>
            </w:r>
          </w:p>
        </w:tc>
        <w:tc>
          <w:tcPr>
            <w:tcW w:w="1559" w:type="dxa"/>
            <w:vAlign w:val="center"/>
          </w:tcPr>
          <w:p w14:paraId="3936CE84">
            <w:pPr>
              <w:spacing w:line="360" w:lineRule="auto"/>
              <w:jc w:val="center"/>
              <w:rPr>
                <w:rFonts w:ascii="黑体" w:hAnsi="黑体" w:eastAsia="黑体" w:cs="Arial"/>
                <w:snapToGrid w:val="0"/>
                <w:sz w:val="28"/>
                <w:szCs w:val="28"/>
              </w:rPr>
            </w:pPr>
            <w:r>
              <w:rPr>
                <w:rFonts w:hint="eastAsia" w:ascii="黑体" w:hAnsi="黑体" w:eastAsia="黑体" w:cs="Arial"/>
                <w:snapToGrid w:val="0"/>
                <w:sz w:val="28"/>
                <w:szCs w:val="28"/>
              </w:rPr>
              <w:t>李杨</w:t>
            </w:r>
          </w:p>
        </w:tc>
        <w:tc>
          <w:tcPr>
            <w:tcW w:w="1843" w:type="dxa"/>
            <w:vAlign w:val="center"/>
          </w:tcPr>
          <w:p w14:paraId="607D8B05">
            <w:pPr>
              <w:spacing w:line="360" w:lineRule="auto"/>
              <w:jc w:val="center"/>
              <w:rPr>
                <w:rFonts w:ascii="黑体" w:hAnsi="黑体" w:eastAsia="黑体" w:cs="宋体"/>
                <w:snapToGrid w:val="0"/>
                <w:spacing w:val="7"/>
                <w:sz w:val="28"/>
                <w:szCs w:val="28"/>
              </w:rPr>
            </w:pPr>
            <w:r>
              <w:rPr>
                <w:rFonts w:hint="eastAsia" w:ascii="黑体" w:hAnsi="黑体" w:eastAsia="黑体" w:cs="宋体"/>
                <w:snapToGrid w:val="0"/>
                <w:spacing w:val="7"/>
                <w:sz w:val="28"/>
                <w:szCs w:val="28"/>
              </w:rPr>
              <w:t>水工环</w:t>
            </w:r>
          </w:p>
        </w:tc>
        <w:tc>
          <w:tcPr>
            <w:tcW w:w="2126" w:type="dxa"/>
            <w:vAlign w:val="center"/>
          </w:tcPr>
          <w:p w14:paraId="0B3DC646">
            <w:pPr>
              <w:spacing w:line="360" w:lineRule="auto"/>
              <w:jc w:val="center"/>
              <w:rPr>
                <w:rFonts w:ascii="黑体" w:hAnsi="黑体" w:eastAsia="黑体" w:cs="宋体"/>
                <w:snapToGrid w:val="0"/>
                <w:spacing w:val="5"/>
                <w:sz w:val="28"/>
                <w:szCs w:val="28"/>
              </w:rPr>
            </w:pPr>
            <w:r>
              <w:rPr>
                <w:rFonts w:hint="eastAsia" w:ascii="黑体" w:hAnsi="黑体" w:eastAsia="黑体" w:cs="宋体"/>
                <w:snapToGrid w:val="0"/>
                <w:spacing w:val="5"/>
                <w:sz w:val="28"/>
                <w:szCs w:val="28"/>
              </w:rPr>
              <w:t>高级工程师</w:t>
            </w:r>
          </w:p>
        </w:tc>
        <w:tc>
          <w:tcPr>
            <w:tcW w:w="1365" w:type="dxa"/>
            <w:vAlign w:val="center"/>
          </w:tcPr>
          <w:p w14:paraId="47ABD15F">
            <w:pPr>
              <w:spacing w:line="360" w:lineRule="auto"/>
              <w:jc w:val="center"/>
              <w:rPr>
                <w:rFonts w:ascii="黑体" w:hAnsi="黑体" w:eastAsia="黑体" w:cs="Arial"/>
                <w:snapToGrid w:val="0"/>
                <w:sz w:val="28"/>
                <w:szCs w:val="28"/>
              </w:rPr>
            </w:pPr>
            <w:r>
              <w:rPr>
                <w:rFonts w:ascii="黑体" w:hAnsi="黑体" w:eastAsia="黑体" w:cs="Arial"/>
                <w:sz w:val="28"/>
                <w:szCs w:val="28"/>
              </w:rPr>
              <w:drawing>
                <wp:inline distT="0" distB="0" distL="0" distR="0">
                  <wp:extent cx="881380" cy="456565"/>
                  <wp:effectExtent l="19050" t="0" r="0" b="0"/>
                  <wp:docPr id="25" name="图片 12" descr="C:\Users\DAY\Desktop\175.175.177.121_04271124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2" descr="C:\Users\DAY\Desktop\175.175.177.121_0427112432.png"/>
                          <pic:cNvPicPr>
                            <a:picLocks noChangeAspect="1" noChangeArrowheads="1"/>
                          </pic:cNvPicPr>
                        </pic:nvPicPr>
                        <pic:blipFill>
                          <a:blip r:embed="rId12" cstate="print"/>
                          <a:srcRect/>
                          <a:stretch>
                            <a:fillRect/>
                          </a:stretch>
                        </pic:blipFill>
                        <pic:spPr>
                          <a:xfrm>
                            <a:off x="0" y="0"/>
                            <a:ext cx="882000" cy="456615"/>
                          </a:xfrm>
                          <a:prstGeom prst="rect">
                            <a:avLst/>
                          </a:prstGeom>
                          <a:noFill/>
                          <a:ln w="9525">
                            <a:noFill/>
                            <a:miter lim="800000"/>
                            <a:headEnd/>
                            <a:tailEnd/>
                          </a:ln>
                        </pic:spPr>
                      </pic:pic>
                    </a:graphicData>
                  </a:graphic>
                </wp:inline>
              </w:drawing>
            </w:r>
          </w:p>
        </w:tc>
      </w:tr>
      <w:tr w14:paraId="5D2A44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423" w:type="dxa"/>
            <w:vAlign w:val="center"/>
          </w:tcPr>
          <w:p w14:paraId="33496EAF">
            <w:pPr>
              <w:spacing w:line="360" w:lineRule="auto"/>
              <w:jc w:val="center"/>
              <w:rPr>
                <w:rFonts w:ascii="黑体" w:hAnsi="黑体" w:eastAsia="黑体" w:cs="Arial"/>
                <w:snapToGrid w:val="0"/>
                <w:sz w:val="28"/>
                <w:szCs w:val="28"/>
              </w:rPr>
            </w:pPr>
          </w:p>
        </w:tc>
        <w:tc>
          <w:tcPr>
            <w:tcW w:w="1559" w:type="dxa"/>
            <w:vAlign w:val="center"/>
          </w:tcPr>
          <w:p w14:paraId="689DD9CF">
            <w:pPr>
              <w:spacing w:line="360" w:lineRule="auto"/>
              <w:jc w:val="center"/>
              <w:rPr>
                <w:rFonts w:ascii="黑体" w:hAnsi="黑体" w:eastAsia="黑体" w:cs="Arial"/>
                <w:snapToGrid w:val="0"/>
                <w:sz w:val="28"/>
                <w:szCs w:val="28"/>
              </w:rPr>
            </w:pPr>
          </w:p>
        </w:tc>
        <w:tc>
          <w:tcPr>
            <w:tcW w:w="1843" w:type="dxa"/>
            <w:vAlign w:val="center"/>
          </w:tcPr>
          <w:p w14:paraId="684B47AB">
            <w:pPr>
              <w:spacing w:line="360" w:lineRule="auto"/>
              <w:jc w:val="center"/>
              <w:rPr>
                <w:rFonts w:ascii="黑体" w:hAnsi="黑体" w:eastAsia="黑体" w:cs="宋体"/>
                <w:snapToGrid w:val="0"/>
                <w:spacing w:val="7"/>
                <w:sz w:val="28"/>
                <w:szCs w:val="28"/>
              </w:rPr>
            </w:pPr>
          </w:p>
        </w:tc>
        <w:tc>
          <w:tcPr>
            <w:tcW w:w="2126" w:type="dxa"/>
            <w:vAlign w:val="center"/>
          </w:tcPr>
          <w:p w14:paraId="73646B60">
            <w:pPr>
              <w:spacing w:line="360" w:lineRule="auto"/>
              <w:jc w:val="center"/>
              <w:rPr>
                <w:rFonts w:ascii="黑体" w:hAnsi="黑体" w:eastAsia="黑体" w:cs="宋体"/>
                <w:snapToGrid w:val="0"/>
                <w:spacing w:val="5"/>
                <w:sz w:val="28"/>
                <w:szCs w:val="28"/>
              </w:rPr>
            </w:pPr>
          </w:p>
        </w:tc>
        <w:tc>
          <w:tcPr>
            <w:tcW w:w="1365" w:type="dxa"/>
            <w:vAlign w:val="center"/>
          </w:tcPr>
          <w:p w14:paraId="7975C18B">
            <w:pPr>
              <w:spacing w:line="360" w:lineRule="auto"/>
              <w:jc w:val="center"/>
              <w:rPr>
                <w:rFonts w:ascii="黑体" w:hAnsi="黑体" w:eastAsia="黑体" w:cs="Arial"/>
                <w:sz w:val="28"/>
                <w:szCs w:val="28"/>
              </w:rPr>
            </w:pPr>
          </w:p>
        </w:tc>
      </w:tr>
      <w:tr w14:paraId="07BA8E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423" w:type="dxa"/>
            <w:vAlign w:val="center"/>
          </w:tcPr>
          <w:p w14:paraId="30C007AA">
            <w:pPr>
              <w:spacing w:line="360" w:lineRule="auto"/>
              <w:jc w:val="center"/>
              <w:rPr>
                <w:rFonts w:ascii="黑体" w:hAnsi="黑体" w:eastAsia="黑体" w:cs="Arial"/>
                <w:snapToGrid w:val="0"/>
                <w:sz w:val="28"/>
                <w:szCs w:val="28"/>
              </w:rPr>
            </w:pPr>
          </w:p>
        </w:tc>
        <w:tc>
          <w:tcPr>
            <w:tcW w:w="1559" w:type="dxa"/>
            <w:vAlign w:val="center"/>
          </w:tcPr>
          <w:p w14:paraId="0CF1DC5B">
            <w:pPr>
              <w:spacing w:line="360" w:lineRule="auto"/>
              <w:jc w:val="center"/>
              <w:rPr>
                <w:rFonts w:ascii="黑体" w:hAnsi="黑体" w:eastAsia="黑体" w:cs="Arial"/>
                <w:snapToGrid w:val="0"/>
                <w:sz w:val="28"/>
                <w:szCs w:val="28"/>
              </w:rPr>
            </w:pPr>
          </w:p>
        </w:tc>
        <w:tc>
          <w:tcPr>
            <w:tcW w:w="1843" w:type="dxa"/>
            <w:vAlign w:val="center"/>
          </w:tcPr>
          <w:p w14:paraId="1D8EAB5F">
            <w:pPr>
              <w:spacing w:line="360" w:lineRule="auto"/>
              <w:jc w:val="center"/>
              <w:rPr>
                <w:rFonts w:ascii="黑体" w:hAnsi="黑体" w:eastAsia="黑体" w:cs="宋体"/>
                <w:snapToGrid w:val="0"/>
                <w:spacing w:val="7"/>
                <w:sz w:val="28"/>
                <w:szCs w:val="28"/>
              </w:rPr>
            </w:pPr>
          </w:p>
        </w:tc>
        <w:tc>
          <w:tcPr>
            <w:tcW w:w="2126" w:type="dxa"/>
            <w:vAlign w:val="center"/>
          </w:tcPr>
          <w:p w14:paraId="13CB2B9B">
            <w:pPr>
              <w:spacing w:line="360" w:lineRule="auto"/>
              <w:jc w:val="center"/>
              <w:rPr>
                <w:rFonts w:ascii="黑体" w:hAnsi="黑体" w:eastAsia="黑体" w:cs="宋体"/>
                <w:snapToGrid w:val="0"/>
                <w:spacing w:val="5"/>
                <w:sz w:val="28"/>
                <w:szCs w:val="28"/>
              </w:rPr>
            </w:pPr>
          </w:p>
        </w:tc>
        <w:tc>
          <w:tcPr>
            <w:tcW w:w="1365" w:type="dxa"/>
            <w:vAlign w:val="center"/>
          </w:tcPr>
          <w:p w14:paraId="61D6E26B">
            <w:pPr>
              <w:spacing w:line="360" w:lineRule="auto"/>
              <w:jc w:val="center"/>
              <w:rPr>
                <w:rFonts w:ascii="黑体" w:hAnsi="黑体" w:eastAsia="黑体" w:cs="Arial"/>
                <w:sz w:val="28"/>
                <w:szCs w:val="28"/>
              </w:rPr>
            </w:pPr>
          </w:p>
        </w:tc>
      </w:tr>
    </w:tbl>
    <w:p w14:paraId="11748759">
      <w:pPr>
        <w:ind w:firstLine="680" w:firstLineChars="200"/>
        <w:rPr>
          <w:rFonts w:ascii="宋体" w:hAnsi="宋体"/>
          <w:spacing w:val="10"/>
          <w:sz w:val="32"/>
          <w:szCs w:val="32"/>
        </w:rPr>
      </w:pPr>
    </w:p>
    <w:p w14:paraId="09AF7B63">
      <w:pPr>
        <w:widowControl/>
        <w:tabs>
          <w:tab w:val="left" w:pos="4395"/>
        </w:tabs>
        <w:jc w:val="center"/>
        <w:rPr>
          <w:sz w:val="32"/>
          <w:szCs w:val="32"/>
        </w:rPr>
      </w:pPr>
      <w:r>
        <w:rPr>
          <w:rFonts w:ascii="宋体" w:hAnsi="宋体"/>
          <w:spacing w:val="10"/>
          <w:sz w:val="32"/>
          <w:szCs w:val="32"/>
        </w:rPr>
        <w:br w:type="page"/>
      </w:r>
      <w:r>
        <w:rPr>
          <w:rFonts w:ascii="宋体" w:hAnsi="宋体"/>
          <w:b/>
          <w:bCs/>
          <w:sz w:val="32"/>
          <w:szCs w:val="32"/>
        </w:rPr>
        <w:t>目</w:t>
      </w:r>
      <w:r>
        <w:rPr>
          <w:rFonts w:hint="eastAsia" w:ascii="宋体" w:hAnsi="宋体"/>
          <w:b/>
          <w:bCs/>
          <w:sz w:val="32"/>
          <w:szCs w:val="32"/>
        </w:rPr>
        <w:t xml:space="preserve">  </w:t>
      </w:r>
      <w:r>
        <w:rPr>
          <w:rFonts w:ascii="宋体" w:hAnsi="宋体"/>
          <w:b/>
          <w:bCs/>
          <w:sz w:val="32"/>
          <w:szCs w:val="32"/>
        </w:rPr>
        <w:t>录</w:t>
      </w:r>
    </w:p>
    <w:p w14:paraId="7EBC1D91">
      <w:pPr>
        <w:pStyle w:val="27"/>
        <w:tabs>
          <w:tab w:val="right" w:leader="dot" w:pos="8731"/>
        </w:tabs>
        <w:rPr>
          <w:sz w:val="28"/>
          <w:szCs w:val="28"/>
        </w:rPr>
      </w:pPr>
      <w:r>
        <w:rPr>
          <w:rFonts w:hint="eastAsia" w:ascii="仿宋" w:hAnsi="仿宋" w:eastAsia="仿宋" w:cs="仿宋"/>
          <w:bCs w:val="0"/>
          <w:color w:val="FF0000"/>
          <w:sz w:val="28"/>
          <w:szCs w:val="28"/>
        </w:rPr>
        <w:fldChar w:fldCharType="begin"/>
      </w:r>
      <w:r>
        <w:rPr>
          <w:rFonts w:hint="eastAsia" w:ascii="仿宋" w:hAnsi="仿宋" w:eastAsia="仿宋" w:cs="仿宋"/>
          <w:bCs w:val="0"/>
          <w:color w:val="FF0000"/>
          <w:sz w:val="28"/>
          <w:szCs w:val="28"/>
        </w:rPr>
        <w:instrText xml:space="preserve">TOC \o "1-2" \h \u </w:instrText>
      </w:r>
      <w:r>
        <w:rPr>
          <w:rFonts w:hint="eastAsia" w:ascii="仿宋" w:hAnsi="仿宋" w:eastAsia="仿宋" w:cs="仿宋"/>
          <w:bCs w:val="0"/>
          <w:color w:val="FF0000"/>
          <w:sz w:val="28"/>
          <w:szCs w:val="28"/>
        </w:rPr>
        <w:fldChar w:fldCharType="separate"/>
      </w:r>
      <w:r>
        <w:fldChar w:fldCharType="begin"/>
      </w:r>
      <w:r>
        <w:instrText xml:space="preserve"> HYPERLINK \l "_Toc29888" </w:instrText>
      </w:r>
      <w:r>
        <w:fldChar w:fldCharType="separate"/>
      </w:r>
      <w:r>
        <w:rPr>
          <w:rFonts w:hint="eastAsia" w:ascii="黑体" w:hAnsi="黑体" w:eastAsia="黑体" w:cs="黑体"/>
          <w:sz w:val="28"/>
          <w:szCs w:val="28"/>
        </w:rPr>
        <w:t>前 言</w:t>
      </w:r>
      <w:r>
        <w:rPr>
          <w:sz w:val="28"/>
          <w:szCs w:val="28"/>
        </w:rPr>
        <w:tab/>
      </w:r>
      <w:r>
        <w:rPr>
          <w:sz w:val="28"/>
          <w:szCs w:val="28"/>
        </w:rPr>
        <w:fldChar w:fldCharType="begin"/>
      </w:r>
      <w:r>
        <w:rPr>
          <w:sz w:val="28"/>
          <w:szCs w:val="28"/>
        </w:rPr>
        <w:instrText xml:space="preserve"> PAGEREF _Toc29888 \h </w:instrText>
      </w:r>
      <w:r>
        <w:rPr>
          <w:sz w:val="28"/>
          <w:szCs w:val="28"/>
        </w:rPr>
        <w:fldChar w:fldCharType="separate"/>
      </w:r>
      <w:r>
        <w:rPr>
          <w:sz w:val="28"/>
          <w:szCs w:val="28"/>
        </w:rPr>
        <w:t>1</w:t>
      </w:r>
      <w:r>
        <w:rPr>
          <w:sz w:val="28"/>
          <w:szCs w:val="28"/>
        </w:rPr>
        <w:fldChar w:fldCharType="end"/>
      </w:r>
      <w:r>
        <w:rPr>
          <w:sz w:val="28"/>
          <w:szCs w:val="28"/>
        </w:rPr>
        <w:fldChar w:fldCharType="end"/>
      </w:r>
    </w:p>
    <w:p w14:paraId="3124609D">
      <w:pPr>
        <w:pStyle w:val="33"/>
        <w:tabs>
          <w:tab w:val="right" w:leader="dot" w:pos="8731"/>
        </w:tabs>
        <w:rPr>
          <w:sz w:val="28"/>
          <w:szCs w:val="28"/>
        </w:rPr>
      </w:pPr>
      <w:r>
        <w:fldChar w:fldCharType="begin"/>
      </w:r>
      <w:r>
        <w:instrText xml:space="preserve"> HYPERLINK \l "_Toc32102" </w:instrText>
      </w:r>
      <w:r>
        <w:fldChar w:fldCharType="separate"/>
      </w:r>
      <w:r>
        <w:rPr>
          <w:rFonts w:hint="eastAsia" w:ascii="宋体" w:hAnsi="宋体" w:cs="宋体"/>
          <w:bCs/>
          <w:sz w:val="28"/>
          <w:szCs w:val="28"/>
        </w:rPr>
        <w:t>（一）编制目的</w:t>
      </w:r>
      <w:r>
        <w:rPr>
          <w:sz w:val="28"/>
          <w:szCs w:val="28"/>
        </w:rPr>
        <w:tab/>
      </w:r>
      <w:r>
        <w:rPr>
          <w:sz w:val="28"/>
          <w:szCs w:val="28"/>
        </w:rPr>
        <w:fldChar w:fldCharType="begin"/>
      </w:r>
      <w:r>
        <w:rPr>
          <w:sz w:val="28"/>
          <w:szCs w:val="28"/>
        </w:rPr>
        <w:instrText xml:space="preserve"> PAGEREF _Toc32102 \h </w:instrText>
      </w:r>
      <w:r>
        <w:rPr>
          <w:sz w:val="28"/>
          <w:szCs w:val="28"/>
        </w:rPr>
        <w:fldChar w:fldCharType="separate"/>
      </w:r>
      <w:r>
        <w:rPr>
          <w:sz w:val="28"/>
          <w:szCs w:val="28"/>
        </w:rPr>
        <w:t>1</w:t>
      </w:r>
      <w:r>
        <w:rPr>
          <w:sz w:val="28"/>
          <w:szCs w:val="28"/>
        </w:rPr>
        <w:fldChar w:fldCharType="end"/>
      </w:r>
      <w:r>
        <w:rPr>
          <w:sz w:val="28"/>
          <w:szCs w:val="28"/>
        </w:rPr>
        <w:fldChar w:fldCharType="end"/>
      </w:r>
    </w:p>
    <w:p w14:paraId="78A55698">
      <w:pPr>
        <w:pStyle w:val="33"/>
        <w:tabs>
          <w:tab w:val="right" w:leader="dot" w:pos="8731"/>
        </w:tabs>
        <w:rPr>
          <w:sz w:val="28"/>
          <w:szCs w:val="28"/>
        </w:rPr>
      </w:pPr>
      <w:r>
        <w:fldChar w:fldCharType="begin"/>
      </w:r>
      <w:r>
        <w:instrText xml:space="preserve"> HYPERLINK \l "_Toc27021" </w:instrText>
      </w:r>
      <w:r>
        <w:fldChar w:fldCharType="separate"/>
      </w:r>
      <w:r>
        <w:rPr>
          <w:rFonts w:hint="eastAsia" w:ascii="宋体" w:hAnsi="宋体" w:cs="宋体"/>
          <w:bCs/>
          <w:sz w:val="28"/>
          <w:szCs w:val="28"/>
        </w:rPr>
        <w:t>（二）编制依据</w:t>
      </w:r>
      <w:r>
        <w:rPr>
          <w:sz w:val="28"/>
          <w:szCs w:val="28"/>
        </w:rPr>
        <w:tab/>
      </w:r>
      <w:r>
        <w:rPr>
          <w:sz w:val="28"/>
          <w:szCs w:val="28"/>
        </w:rPr>
        <w:fldChar w:fldCharType="begin"/>
      </w:r>
      <w:r>
        <w:rPr>
          <w:sz w:val="28"/>
          <w:szCs w:val="28"/>
        </w:rPr>
        <w:instrText xml:space="preserve"> PAGEREF _Toc27021 \h </w:instrText>
      </w:r>
      <w:r>
        <w:rPr>
          <w:sz w:val="28"/>
          <w:szCs w:val="28"/>
        </w:rPr>
        <w:fldChar w:fldCharType="separate"/>
      </w:r>
      <w:r>
        <w:rPr>
          <w:sz w:val="28"/>
          <w:szCs w:val="28"/>
        </w:rPr>
        <w:t>1</w:t>
      </w:r>
      <w:r>
        <w:rPr>
          <w:sz w:val="28"/>
          <w:szCs w:val="28"/>
        </w:rPr>
        <w:fldChar w:fldCharType="end"/>
      </w:r>
      <w:r>
        <w:rPr>
          <w:sz w:val="28"/>
          <w:szCs w:val="28"/>
        </w:rPr>
        <w:fldChar w:fldCharType="end"/>
      </w:r>
    </w:p>
    <w:p w14:paraId="34566C46">
      <w:pPr>
        <w:pStyle w:val="27"/>
        <w:tabs>
          <w:tab w:val="right" w:leader="dot" w:pos="8731"/>
        </w:tabs>
        <w:rPr>
          <w:sz w:val="28"/>
          <w:szCs w:val="28"/>
        </w:rPr>
      </w:pPr>
      <w:r>
        <w:fldChar w:fldCharType="begin"/>
      </w:r>
      <w:r>
        <w:instrText xml:space="preserve"> HYPERLINK \l "_Toc24151" </w:instrText>
      </w:r>
      <w:r>
        <w:fldChar w:fldCharType="separate"/>
      </w:r>
      <w:r>
        <w:rPr>
          <w:rFonts w:hint="eastAsia" w:ascii="黑体" w:hAnsi="黑体" w:eastAsia="黑体" w:cs="黑体"/>
          <w:bCs w:val="0"/>
          <w:sz w:val="28"/>
          <w:szCs w:val="28"/>
        </w:rPr>
        <w:t>一、矿山基本情况</w:t>
      </w:r>
      <w:r>
        <w:rPr>
          <w:sz w:val="28"/>
          <w:szCs w:val="28"/>
        </w:rPr>
        <w:tab/>
      </w:r>
      <w:r>
        <w:rPr>
          <w:sz w:val="28"/>
          <w:szCs w:val="28"/>
        </w:rPr>
        <w:fldChar w:fldCharType="begin"/>
      </w:r>
      <w:r>
        <w:rPr>
          <w:sz w:val="28"/>
          <w:szCs w:val="28"/>
        </w:rPr>
        <w:instrText xml:space="preserve"> PAGEREF _Toc24151 \h </w:instrText>
      </w:r>
      <w:r>
        <w:rPr>
          <w:sz w:val="28"/>
          <w:szCs w:val="28"/>
        </w:rPr>
        <w:fldChar w:fldCharType="separate"/>
      </w:r>
      <w:r>
        <w:rPr>
          <w:sz w:val="28"/>
          <w:szCs w:val="28"/>
        </w:rPr>
        <w:t>4</w:t>
      </w:r>
      <w:r>
        <w:rPr>
          <w:sz w:val="28"/>
          <w:szCs w:val="28"/>
        </w:rPr>
        <w:fldChar w:fldCharType="end"/>
      </w:r>
      <w:r>
        <w:rPr>
          <w:sz w:val="28"/>
          <w:szCs w:val="28"/>
        </w:rPr>
        <w:fldChar w:fldCharType="end"/>
      </w:r>
    </w:p>
    <w:p w14:paraId="506097AA">
      <w:pPr>
        <w:pStyle w:val="33"/>
        <w:tabs>
          <w:tab w:val="right" w:leader="dot" w:pos="8731"/>
        </w:tabs>
        <w:rPr>
          <w:sz w:val="28"/>
          <w:szCs w:val="28"/>
        </w:rPr>
      </w:pPr>
      <w:r>
        <w:fldChar w:fldCharType="begin"/>
      </w:r>
      <w:r>
        <w:instrText xml:space="preserve"> HYPERLINK \l "_Toc6931" </w:instrText>
      </w:r>
      <w:r>
        <w:fldChar w:fldCharType="separate"/>
      </w:r>
      <w:r>
        <w:rPr>
          <w:rFonts w:hint="eastAsia" w:ascii="宋体" w:hAnsi="宋体" w:cs="宋体"/>
          <w:bCs/>
          <w:sz w:val="28"/>
          <w:szCs w:val="28"/>
        </w:rPr>
        <w:t>（一）地理位置与区域概况</w:t>
      </w:r>
      <w:r>
        <w:rPr>
          <w:sz w:val="28"/>
          <w:szCs w:val="28"/>
        </w:rPr>
        <w:tab/>
      </w:r>
      <w:r>
        <w:rPr>
          <w:sz w:val="28"/>
          <w:szCs w:val="28"/>
        </w:rPr>
        <w:fldChar w:fldCharType="begin"/>
      </w:r>
      <w:r>
        <w:rPr>
          <w:sz w:val="28"/>
          <w:szCs w:val="28"/>
        </w:rPr>
        <w:instrText xml:space="preserve"> PAGEREF _Toc6931 \h </w:instrText>
      </w:r>
      <w:r>
        <w:rPr>
          <w:sz w:val="28"/>
          <w:szCs w:val="28"/>
        </w:rPr>
        <w:fldChar w:fldCharType="separate"/>
      </w:r>
      <w:r>
        <w:rPr>
          <w:sz w:val="28"/>
          <w:szCs w:val="28"/>
        </w:rPr>
        <w:t>4</w:t>
      </w:r>
      <w:r>
        <w:rPr>
          <w:sz w:val="28"/>
          <w:szCs w:val="28"/>
        </w:rPr>
        <w:fldChar w:fldCharType="end"/>
      </w:r>
      <w:r>
        <w:rPr>
          <w:sz w:val="28"/>
          <w:szCs w:val="28"/>
        </w:rPr>
        <w:fldChar w:fldCharType="end"/>
      </w:r>
    </w:p>
    <w:p w14:paraId="7094963B">
      <w:pPr>
        <w:pStyle w:val="33"/>
        <w:tabs>
          <w:tab w:val="right" w:leader="dot" w:pos="8731"/>
        </w:tabs>
        <w:rPr>
          <w:sz w:val="28"/>
          <w:szCs w:val="28"/>
        </w:rPr>
      </w:pPr>
      <w:r>
        <w:fldChar w:fldCharType="begin"/>
      </w:r>
      <w:r>
        <w:instrText xml:space="preserve"> HYPERLINK \l "_Toc7556" </w:instrText>
      </w:r>
      <w:r>
        <w:fldChar w:fldCharType="separate"/>
      </w:r>
      <w:r>
        <w:rPr>
          <w:rFonts w:hint="eastAsia" w:ascii="宋体" w:hAnsi="宋体" w:cs="宋体"/>
          <w:bCs/>
          <w:sz w:val="28"/>
          <w:szCs w:val="28"/>
        </w:rPr>
        <w:t>（二）申请人基本情况</w:t>
      </w:r>
      <w:r>
        <w:rPr>
          <w:sz w:val="28"/>
          <w:szCs w:val="28"/>
        </w:rPr>
        <w:tab/>
      </w:r>
      <w:r>
        <w:rPr>
          <w:sz w:val="28"/>
          <w:szCs w:val="28"/>
        </w:rPr>
        <w:fldChar w:fldCharType="begin"/>
      </w:r>
      <w:r>
        <w:rPr>
          <w:sz w:val="28"/>
          <w:szCs w:val="28"/>
        </w:rPr>
        <w:instrText xml:space="preserve"> PAGEREF _Toc7556 \h </w:instrText>
      </w:r>
      <w:r>
        <w:rPr>
          <w:sz w:val="28"/>
          <w:szCs w:val="28"/>
        </w:rPr>
        <w:fldChar w:fldCharType="separate"/>
      </w:r>
      <w:r>
        <w:rPr>
          <w:sz w:val="28"/>
          <w:szCs w:val="28"/>
        </w:rPr>
        <w:t>6</w:t>
      </w:r>
      <w:r>
        <w:rPr>
          <w:sz w:val="28"/>
          <w:szCs w:val="28"/>
        </w:rPr>
        <w:fldChar w:fldCharType="end"/>
      </w:r>
      <w:r>
        <w:rPr>
          <w:sz w:val="28"/>
          <w:szCs w:val="28"/>
        </w:rPr>
        <w:fldChar w:fldCharType="end"/>
      </w:r>
    </w:p>
    <w:p w14:paraId="446E77D4">
      <w:pPr>
        <w:pStyle w:val="33"/>
        <w:tabs>
          <w:tab w:val="right" w:leader="dot" w:pos="8731"/>
        </w:tabs>
        <w:rPr>
          <w:sz w:val="28"/>
          <w:szCs w:val="28"/>
        </w:rPr>
      </w:pPr>
      <w:r>
        <w:fldChar w:fldCharType="begin"/>
      </w:r>
      <w:r>
        <w:instrText xml:space="preserve"> HYPERLINK \l "_Toc3705" </w:instrText>
      </w:r>
      <w:r>
        <w:fldChar w:fldCharType="separate"/>
      </w:r>
      <w:r>
        <w:rPr>
          <w:rFonts w:hint="eastAsia" w:ascii="宋体" w:hAnsi="宋体" w:cs="宋体"/>
          <w:bCs/>
          <w:sz w:val="28"/>
          <w:szCs w:val="28"/>
        </w:rPr>
        <w:t>（三）矿山勘查开采历史及现状</w:t>
      </w:r>
      <w:r>
        <w:rPr>
          <w:sz w:val="28"/>
          <w:szCs w:val="28"/>
        </w:rPr>
        <w:tab/>
      </w:r>
      <w:r>
        <w:rPr>
          <w:sz w:val="28"/>
          <w:szCs w:val="28"/>
        </w:rPr>
        <w:fldChar w:fldCharType="begin"/>
      </w:r>
      <w:r>
        <w:rPr>
          <w:sz w:val="28"/>
          <w:szCs w:val="28"/>
        </w:rPr>
        <w:instrText xml:space="preserve"> PAGEREF _Toc3705 \h </w:instrText>
      </w:r>
      <w:r>
        <w:rPr>
          <w:sz w:val="28"/>
          <w:szCs w:val="28"/>
        </w:rPr>
        <w:fldChar w:fldCharType="separate"/>
      </w:r>
      <w:r>
        <w:rPr>
          <w:sz w:val="28"/>
          <w:szCs w:val="28"/>
        </w:rPr>
        <w:t>8</w:t>
      </w:r>
      <w:r>
        <w:rPr>
          <w:sz w:val="28"/>
          <w:szCs w:val="28"/>
        </w:rPr>
        <w:fldChar w:fldCharType="end"/>
      </w:r>
      <w:r>
        <w:rPr>
          <w:sz w:val="28"/>
          <w:szCs w:val="28"/>
        </w:rPr>
        <w:fldChar w:fldCharType="end"/>
      </w:r>
    </w:p>
    <w:p w14:paraId="444E17AE">
      <w:pPr>
        <w:pStyle w:val="27"/>
        <w:tabs>
          <w:tab w:val="right" w:leader="dot" w:pos="8731"/>
        </w:tabs>
        <w:rPr>
          <w:sz w:val="28"/>
          <w:szCs w:val="28"/>
        </w:rPr>
      </w:pPr>
      <w:r>
        <w:fldChar w:fldCharType="begin"/>
      </w:r>
      <w:r>
        <w:instrText xml:space="preserve"> HYPERLINK \l "_Toc11315" </w:instrText>
      </w:r>
      <w:r>
        <w:fldChar w:fldCharType="separate"/>
      </w:r>
      <w:r>
        <w:rPr>
          <w:rFonts w:hint="eastAsia" w:ascii="黑体" w:hAnsi="黑体" w:eastAsia="黑体" w:cs="黑体"/>
          <w:bCs w:val="0"/>
          <w:sz w:val="28"/>
          <w:szCs w:val="28"/>
        </w:rPr>
        <w:t>二、 矿区地质与矿产资源概况</w:t>
      </w:r>
      <w:r>
        <w:rPr>
          <w:sz w:val="28"/>
          <w:szCs w:val="28"/>
        </w:rPr>
        <w:tab/>
      </w:r>
      <w:r>
        <w:rPr>
          <w:sz w:val="28"/>
          <w:szCs w:val="28"/>
        </w:rPr>
        <w:fldChar w:fldCharType="begin"/>
      </w:r>
      <w:r>
        <w:rPr>
          <w:sz w:val="28"/>
          <w:szCs w:val="28"/>
        </w:rPr>
        <w:instrText xml:space="preserve"> PAGEREF _Toc11315 \h </w:instrText>
      </w:r>
      <w:r>
        <w:rPr>
          <w:sz w:val="28"/>
          <w:szCs w:val="28"/>
        </w:rPr>
        <w:fldChar w:fldCharType="separate"/>
      </w:r>
      <w:r>
        <w:rPr>
          <w:sz w:val="28"/>
          <w:szCs w:val="28"/>
        </w:rPr>
        <w:t>10</w:t>
      </w:r>
      <w:r>
        <w:rPr>
          <w:sz w:val="28"/>
          <w:szCs w:val="28"/>
        </w:rPr>
        <w:fldChar w:fldCharType="end"/>
      </w:r>
      <w:r>
        <w:rPr>
          <w:sz w:val="28"/>
          <w:szCs w:val="28"/>
        </w:rPr>
        <w:fldChar w:fldCharType="end"/>
      </w:r>
    </w:p>
    <w:p w14:paraId="2D42BCCB">
      <w:pPr>
        <w:pStyle w:val="33"/>
        <w:tabs>
          <w:tab w:val="right" w:leader="dot" w:pos="8731"/>
        </w:tabs>
        <w:rPr>
          <w:sz w:val="28"/>
          <w:szCs w:val="28"/>
        </w:rPr>
      </w:pPr>
      <w:r>
        <w:fldChar w:fldCharType="begin"/>
      </w:r>
      <w:r>
        <w:instrText xml:space="preserve"> HYPERLINK \l "_Toc13546" </w:instrText>
      </w:r>
      <w:r>
        <w:fldChar w:fldCharType="separate"/>
      </w:r>
      <w:r>
        <w:rPr>
          <w:rFonts w:hint="eastAsia" w:ascii="宋体" w:hAnsi="宋体" w:cs="宋体"/>
          <w:bCs/>
          <w:sz w:val="28"/>
          <w:szCs w:val="28"/>
        </w:rPr>
        <w:t>（一）矿床地质与矿体特征</w:t>
      </w:r>
      <w:r>
        <w:rPr>
          <w:sz w:val="28"/>
          <w:szCs w:val="28"/>
        </w:rPr>
        <w:tab/>
      </w:r>
      <w:r>
        <w:rPr>
          <w:sz w:val="28"/>
          <w:szCs w:val="28"/>
        </w:rPr>
        <w:fldChar w:fldCharType="begin"/>
      </w:r>
      <w:r>
        <w:rPr>
          <w:sz w:val="28"/>
          <w:szCs w:val="28"/>
        </w:rPr>
        <w:instrText xml:space="preserve"> PAGEREF _Toc13546 \h </w:instrText>
      </w:r>
      <w:r>
        <w:rPr>
          <w:sz w:val="28"/>
          <w:szCs w:val="28"/>
        </w:rPr>
        <w:fldChar w:fldCharType="separate"/>
      </w:r>
      <w:r>
        <w:rPr>
          <w:sz w:val="28"/>
          <w:szCs w:val="28"/>
        </w:rPr>
        <w:t>10</w:t>
      </w:r>
      <w:r>
        <w:rPr>
          <w:sz w:val="28"/>
          <w:szCs w:val="28"/>
        </w:rPr>
        <w:fldChar w:fldCharType="end"/>
      </w:r>
      <w:r>
        <w:rPr>
          <w:sz w:val="28"/>
          <w:szCs w:val="28"/>
        </w:rPr>
        <w:fldChar w:fldCharType="end"/>
      </w:r>
    </w:p>
    <w:p w14:paraId="0191C0E0">
      <w:pPr>
        <w:pStyle w:val="33"/>
        <w:tabs>
          <w:tab w:val="right" w:leader="dot" w:pos="8731"/>
        </w:tabs>
        <w:rPr>
          <w:sz w:val="28"/>
          <w:szCs w:val="28"/>
        </w:rPr>
      </w:pPr>
      <w:r>
        <w:fldChar w:fldCharType="begin"/>
      </w:r>
      <w:r>
        <w:instrText xml:space="preserve"> HYPERLINK \l "_Toc6663" </w:instrText>
      </w:r>
      <w:r>
        <w:fldChar w:fldCharType="separate"/>
      </w:r>
      <w:r>
        <w:rPr>
          <w:rFonts w:hint="eastAsia" w:ascii="宋体" w:hAnsi="宋体" w:cs="宋体"/>
          <w:bCs/>
          <w:sz w:val="28"/>
          <w:szCs w:val="28"/>
        </w:rPr>
        <w:t>（二）矿床开采地质条件</w:t>
      </w:r>
      <w:r>
        <w:rPr>
          <w:sz w:val="28"/>
          <w:szCs w:val="28"/>
        </w:rPr>
        <w:tab/>
      </w:r>
      <w:r>
        <w:rPr>
          <w:sz w:val="28"/>
          <w:szCs w:val="28"/>
        </w:rPr>
        <w:fldChar w:fldCharType="begin"/>
      </w:r>
      <w:r>
        <w:rPr>
          <w:sz w:val="28"/>
          <w:szCs w:val="28"/>
        </w:rPr>
        <w:instrText xml:space="preserve"> PAGEREF _Toc6663 \h </w:instrText>
      </w:r>
      <w:r>
        <w:rPr>
          <w:sz w:val="28"/>
          <w:szCs w:val="28"/>
        </w:rPr>
        <w:fldChar w:fldCharType="separate"/>
      </w:r>
      <w:r>
        <w:rPr>
          <w:sz w:val="28"/>
          <w:szCs w:val="28"/>
        </w:rPr>
        <w:t>13</w:t>
      </w:r>
      <w:r>
        <w:rPr>
          <w:sz w:val="28"/>
          <w:szCs w:val="28"/>
        </w:rPr>
        <w:fldChar w:fldCharType="end"/>
      </w:r>
      <w:r>
        <w:rPr>
          <w:sz w:val="28"/>
          <w:szCs w:val="28"/>
        </w:rPr>
        <w:fldChar w:fldCharType="end"/>
      </w:r>
    </w:p>
    <w:p w14:paraId="12CFAB8F">
      <w:pPr>
        <w:pStyle w:val="33"/>
        <w:tabs>
          <w:tab w:val="right" w:leader="dot" w:pos="8731"/>
        </w:tabs>
        <w:rPr>
          <w:sz w:val="28"/>
          <w:szCs w:val="28"/>
        </w:rPr>
      </w:pPr>
      <w:r>
        <w:fldChar w:fldCharType="begin"/>
      </w:r>
      <w:r>
        <w:instrText xml:space="preserve"> HYPERLINK \l "_Toc15895" </w:instrText>
      </w:r>
      <w:r>
        <w:fldChar w:fldCharType="separate"/>
      </w:r>
      <w:r>
        <w:rPr>
          <w:rFonts w:hint="eastAsia" w:ascii="宋体" w:hAnsi="宋体" w:cs="宋体"/>
          <w:bCs/>
          <w:sz w:val="28"/>
          <w:szCs w:val="28"/>
        </w:rPr>
        <w:t>（三）资源储量情况</w:t>
      </w:r>
      <w:r>
        <w:rPr>
          <w:sz w:val="28"/>
          <w:szCs w:val="28"/>
        </w:rPr>
        <w:tab/>
      </w:r>
      <w:r>
        <w:rPr>
          <w:sz w:val="28"/>
          <w:szCs w:val="28"/>
        </w:rPr>
        <w:fldChar w:fldCharType="begin"/>
      </w:r>
      <w:r>
        <w:rPr>
          <w:sz w:val="28"/>
          <w:szCs w:val="28"/>
        </w:rPr>
        <w:instrText xml:space="preserve"> PAGEREF _Toc15895 \h </w:instrText>
      </w:r>
      <w:r>
        <w:rPr>
          <w:sz w:val="28"/>
          <w:szCs w:val="28"/>
        </w:rPr>
        <w:fldChar w:fldCharType="separate"/>
      </w:r>
      <w:r>
        <w:rPr>
          <w:sz w:val="28"/>
          <w:szCs w:val="28"/>
        </w:rPr>
        <w:t>16</w:t>
      </w:r>
      <w:r>
        <w:rPr>
          <w:sz w:val="28"/>
          <w:szCs w:val="28"/>
        </w:rPr>
        <w:fldChar w:fldCharType="end"/>
      </w:r>
      <w:r>
        <w:rPr>
          <w:sz w:val="28"/>
          <w:szCs w:val="28"/>
        </w:rPr>
        <w:fldChar w:fldCharType="end"/>
      </w:r>
    </w:p>
    <w:p w14:paraId="1554B884">
      <w:pPr>
        <w:pStyle w:val="27"/>
        <w:tabs>
          <w:tab w:val="right" w:leader="dot" w:pos="8731"/>
        </w:tabs>
        <w:rPr>
          <w:sz w:val="28"/>
          <w:szCs w:val="28"/>
        </w:rPr>
      </w:pPr>
      <w:r>
        <w:fldChar w:fldCharType="begin"/>
      </w:r>
      <w:r>
        <w:instrText xml:space="preserve"> HYPERLINK \l "_Toc9247" </w:instrText>
      </w:r>
      <w:r>
        <w:fldChar w:fldCharType="separate"/>
      </w:r>
      <w:r>
        <w:rPr>
          <w:rFonts w:hint="eastAsia" w:ascii="黑体" w:hAnsi="黑体" w:eastAsia="黑体" w:cs="黑体"/>
          <w:bCs w:val="0"/>
          <w:sz w:val="28"/>
          <w:szCs w:val="28"/>
        </w:rPr>
        <w:t>三、矿区范围</w:t>
      </w:r>
      <w:r>
        <w:rPr>
          <w:sz w:val="28"/>
          <w:szCs w:val="28"/>
        </w:rPr>
        <w:tab/>
      </w:r>
      <w:r>
        <w:rPr>
          <w:sz w:val="28"/>
          <w:szCs w:val="28"/>
        </w:rPr>
        <w:fldChar w:fldCharType="begin"/>
      </w:r>
      <w:r>
        <w:rPr>
          <w:sz w:val="28"/>
          <w:szCs w:val="28"/>
        </w:rPr>
        <w:instrText xml:space="preserve"> PAGEREF _Toc9247 \h </w:instrText>
      </w:r>
      <w:r>
        <w:rPr>
          <w:sz w:val="28"/>
          <w:szCs w:val="28"/>
        </w:rPr>
        <w:fldChar w:fldCharType="separate"/>
      </w:r>
      <w:r>
        <w:rPr>
          <w:sz w:val="28"/>
          <w:szCs w:val="28"/>
        </w:rPr>
        <w:t>16</w:t>
      </w:r>
      <w:r>
        <w:rPr>
          <w:sz w:val="28"/>
          <w:szCs w:val="28"/>
        </w:rPr>
        <w:fldChar w:fldCharType="end"/>
      </w:r>
      <w:r>
        <w:rPr>
          <w:sz w:val="28"/>
          <w:szCs w:val="28"/>
        </w:rPr>
        <w:fldChar w:fldCharType="end"/>
      </w:r>
    </w:p>
    <w:p w14:paraId="7A5557AF">
      <w:pPr>
        <w:pStyle w:val="33"/>
        <w:tabs>
          <w:tab w:val="right" w:leader="dot" w:pos="8731"/>
        </w:tabs>
        <w:rPr>
          <w:sz w:val="28"/>
          <w:szCs w:val="28"/>
        </w:rPr>
      </w:pPr>
      <w:r>
        <w:fldChar w:fldCharType="begin"/>
      </w:r>
      <w:r>
        <w:instrText xml:space="preserve"> HYPERLINK \l "_Toc22032" </w:instrText>
      </w:r>
      <w:r>
        <w:fldChar w:fldCharType="separate"/>
      </w:r>
      <w:r>
        <w:rPr>
          <w:rFonts w:hint="eastAsia" w:ascii="宋体" w:hAnsi="宋体" w:cs="宋体"/>
          <w:bCs/>
          <w:sz w:val="28"/>
          <w:szCs w:val="28"/>
        </w:rPr>
        <w:t>（一）符合矿产资源规划情况</w:t>
      </w:r>
      <w:r>
        <w:rPr>
          <w:sz w:val="28"/>
          <w:szCs w:val="28"/>
        </w:rPr>
        <w:tab/>
      </w:r>
      <w:r>
        <w:rPr>
          <w:sz w:val="28"/>
          <w:szCs w:val="28"/>
        </w:rPr>
        <w:fldChar w:fldCharType="begin"/>
      </w:r>
      <w:r>
        <w:rPr>
          <w:sz w:val="28"/>
          <w:szCs w:val="28"/>
        </w:rPr>
        <w:instrText xml:space="preserve"> PAGEREF _Toc22032 \h </w:instrText>
      </w:r>
      <w:r>
        <w:rPr>
          <w:sz w:val="28"/>
          <w:szCs w:val="28"/>
        </w:rPr>
        <w:fldChar w:fldCharType="separate"/>
      </w:r>
      <w:r>
        <w:rPr>
          <w:sz w:val="28"/>
          <w:szCs w:val="28"/>
        </w:rPr>
        <w:t>16</w:t>
      </w:r>
      <w:r>
        <w:rPr>
          <w:sz w:val="28"/>
          <w:szCs w:val="28"/>
        </w:rPr>
        <w:fldChar w:fldCharType="end"/>
      </w:r>
      <w:r>
        <w:rPr>
          <w:sz w:val="28"/>
          <w:szCs w:val="28"/>
        </w:rPr>
        <w:fldChar w:fldCharType="end"/>
      </w:r>
    </w:p>
    <w:p w14:paraId="29B633D3">
      <w:pPr>
        <w:pStyle w:val="33"/>
        <w:tabs>
          <w:tab w:val="right" w:leader="dot" w:pos="8731"/>
        </w:tabs>
        <w:rPr>
          <w:sz w:val="28"/>
          <w:szCs w:val="28"/>
        </w:rPr>
      </w:pPr>
      <w:r>
        <w:fldChar w:fldCharType="begin"/>
      </w:r>
      <w:r>
        <w:instrText xml:space="preserve"> HYPERLINK \l "_Toc17419" </w:instrText>
      </w:r>
      <w:r>
        <w:fldChar w:fldCharType="separate"/>
      </w:r>
      <w:r>
        <w:rPr>
          <w:rFonts w:hint="eastAsia" w:ascii="宋体" w:hAnsi="宋体" w:cs="宋体"/>
          <w:bCs/>
          <w:sz w:val="28"/>
          <w:szCs w:val="28"/>
        </w:rPr>
        <w:t>（二）可供开采矿产资源的范围</w:t>
      </w:r>
      <w:r>
        <w:rPr>
          <w:sz w:val="28"/>
          <w:szCs w:val="28"/>
        </w:rPr>
        <w:tab/>
      </w:r>
      <w:r>
        <w:rPr>
          <w:sz w:val="28"/>
          <w:szCs w:val="28"/>
        </w:rPr>
        <w:fldChar w:fldCharType="begin"/>
      </w:r>
      <w:r>
        <w:rPr>
          <w:sz w:val="28"/>
          <w:szCs w:val="28"/>
        </w:rPr>
        <w:instrText xml:space="preserve"> PAGEREF _Toc17419 \h </w:instrText>
      </w:r>
      <w:r>
        <w:rPr>
          <w:sz w:val="28"/>
          <w:szCs w:val="28"/>
        </w:rPr>
        <w:fldChar w:fldCharType="separate"/>
      </w:r>
      <w:r>
        <w:rPr>
          <w:sz w:val="28"/>
          <w:szCs w:val="28"/>
        </w:rPr>
        <w:t>17</w:t>
      </w:r>
      <w:r>
        <w:rPr>
          <w:sz w:val="28"/>
          <w:szCs w:val="28"/>
        </w:rPr>
        <w:fldChar w:fldCharType="end"/>
      </w:r>
      <w:r>
        <w:rPr>
          <w:sz w:val="28"/>
          <w:szCs w:val="28"/>
        </w:rPr>
        <w:fldChar w:fldCharType="end"/>
      </w:r>
    </w:p>
    <w:p w14:paraId="6BDA3888">
      <w:pPr>
        <w:pStyle w:val="33"/>
        <w:tabs>
          <w:tab w:val="right" w:leader="dot" w:pos="8731"/>
        </w:tabs>
        <w:rPr>
          <w:sz w:val="28"/>
          <w:szCs w:val="28"/>
        </w:rPr>
      </w:pPr>
      <w:r>
        <w:fldChar w:fldCharType="begin"/>
      </w:r>
      <w:r>
        <w:instrText xml:space="preserve"> HYPERLINK \l "_Toc7904" </w:instrText>
      </w:r>
      <w:r>
        <w:fldChar w:fldCharType="separate"/>
      </w:r>
      <w:r>
        <w:rPr>
          <w:rFonts w:hint="eastAsia" w:ascii="宋体" w:hAnsi="宋体" w:cs="宋体"/>
          <w:bCs/>
          <w:sz w:val="28"/>
          <w:szCs w:val="28"/>
        </w:rPr>
        <w:t>（三）露天剥离范围</w:t>
      </w:r>
      <w:r>
        <w:rPr>
          <w:sz w:val="28"/>
          <w:szCs w:val="28"/>
        </w:rPr>
        <w:tab/>
      </w:r>
      <w:r>
        <w:rPr>
          <w:sz w:val="28"/>
          <w:szCs w:val="28"/>
        </w:rPr>
        <w:fldChar w:fldCharType="begin"/>
      </w:r>
      <w:r>
        <w:rPr>
          <w:sz w:val="28"/>
          <w:szCs w:val="28"/>
        </w:rPr>
        <w:instrText xml:space="preserve"> PAGEREF _Toc7904 \h </w:instrText>
      </w:r>
      <w:r>
        <w:rPr>
          <w:sz w:val="28"/>
          <w:szCs w:val="28"/>
        </w:rPr>
        <w:fldChar w:fldCharType="separate"/>
      </w:r>
      <w:r>
        <w:rPr>
          <w:sz w:val="28"/>
          <w:szCs w:val="28"/>
        </w:rPr>
        <w:t>18</w:t>
      </w:r>
      <w:r>
        <w:rPr>
          <w:sz w:val="28"/>
          <w:szCs w:val="28"/>
        </w:rPr>
        <w:fldChar w:fldCharType="end"/>
      </w:r>
      <w:r>
        <w:rPr>
          <w:sz w:val="28"/>
          <w:szCs w:val="28"/>
        </w:rPr>
        <w:fldChar w:fldCharType="end"/>
      </w:r>
    </w:p>
    <w:p w14:paraId="2D594893">
      <w:pPr>
        <w:pStyle w:val="33"/>
        <w:tabs>
          <w:tab w:val="right" w:leader="dot" w:pos="8731"/>
        </w:tabs>
        <w:rPr>
          <w:sz w:val="28"/>
          <w:szCs w:val="28"/>
        </w:rPr>
      </w:pPr>
      <w:r>
        <w:fldChar w:fldCharType="begin"/>
      </w:r>
      <w:r>
        <w:instrText xml:space="preserve"> HYPERLINK \l "_Toc20355" </w:instrText>
      </w:r>
      <w:r>
        <w:fldChar w:fldCharType="separate"/>
      </w:r>
      <w:r>
        <w:rPr>
          <w:rFonts w:hint="eastAsia" w:ascii="宋体" w:hAnsi="宋体" w:cs="宋体"/>
          <w:bCs/>
          <w:sz w:val="28"/>
          <w:szCs w:val="28"/>
        </w:rPr>
        <w:t>（四）与相关禁限区的重叠情况</w:t>
      </w:r>
      <w:r>
        <w:rPr>
          <w:sz w:val="28"/>
          <w:szCs w:val="28"/>
        </w:rPr>
        <w:tab/>
      </w:r>
      <w:r>
        <w:rPr>
          <w:sz w:val="28"/>
          <w:szCs w:val="28"/>
        </w:rPr>
        <w:fldChar w:fldCharType="begin"/>
      </w:r>
      <w:r>
        <w:rPr>
          <w:sz w:val="28"/>
          <w:szCs w:val="28"/>
        </w:rPr>
        <w:instrText xml:space="preserve"> PAGEREF _Toc20355 \h </w:instrText>
      </w:r>
      <w:r>
        <w:rPr>
          <w:sz w:val="28"/>
          <w:szCs w:val="28"/>
        </w:rPr>
        <w:fldChar w:fldCharType="separate"/>
      </w:r>
      <w:r>
        <w:rPr>
          <w:sz w:val="28"/>
          <w:szCs w:val="28"/>
        </w:rPr>
        <w:t>20</w:t>
      </w:r>
      <w:r>
        <w:rPr>
          <w:sz w:val="28"/>
          <w:szCs w:val="28"/>
        </w:rPr>
        <w:fldChar w:fldCharType="end"/>
      </w:r>
      <w:r>
        <w:rPr>
          <w:sz w:val="28"/>
          <w:szCs w:val="28"/>
        </w:rPr>
        <w:fldChar w:fldCharType="end"/>
      </w:r>
    </w:p>
    <w:p w14:paraId="1283A2B7">
      <w:pPr>
        <w:pStyle w:val="33"/>
        <w:tabs>
          <w:tab w:val="right" w:leader="dot" w:pos="8731"/>
        </w:tabs>
        <w:rPr>
          <w:sz w:val="28"/>
          <w:szCs w:val="28"/>
        </w:rPr>
      </w:pPr>
      <w:r>
        <w:fldChar w:fldCharType="begin"/>
      </w:r>
      <w:r>
        <w:instrText xml:space="preserve"> HYPERLINK \l "_Toc11240" </w:instrText>
      </w:r>
      <w:r>
        <w:fldChar w:fldCharType="separate"/>
      </w:r>
      <w:r>
        <w:rPr>
          <w:rFonts w:hint="eastAsia" w:ascii="宋体" w:hAnsi="宋体" w:cs="宋体"/>
          <w:bCs/>
          <w:sz w:val="28"/>
          <w:szCs w:val="28"/>
        </w:rPr>
        <w:t>（五）申请采矿权矿区范围</w:t>
      </w:r>
      <w:r>
        <w:rPr>
          <w:sz w:val="28"/>
          <w:szCs w:val="28"/>
        </w:rPr>
        <w:tab/>
      </w:r>
      <w:r>
        <w:rPr>
          <w:sz w:val="28"/>
          <w:szCs w:val="28"/>
        </w:rPr>
        <w:fldChar w:fldCharType="begin"/>
      </w:r>
      <w:r>
        <w:rPr>
          <w:sz w:val="28"/>
          <w:szCs w:val="28"/>
        </w:rPr>
        <w:instrText xml:space="preserve"> PAGEREF _Toc11240 \h </w:instrText>
      </w:r>
      <w:r>
        <w:rPr>
          <w:sz w:val="28"/>
          <w:szCs w:val="28"/>
        </w:rPr>
        <w:fldChar w:fldCharType="separate"/>
      </w:r>
      <w:r>
        <w:rPr>
          <w:sz w:val="28"/>
          <w:szCs w:val="28"/>
        </w:rPr>
        <w:t>21</w:t>
      </w:r>
      <w:r>
        <w:rPr>
          <w:sz w:val="28"/>
          <w:szCs w:val="28"/>
        </w:rPr>
        <w:fldChar w:fldCharType="end"/>
      </w:r>
      <w:r>
        <w:rPr>
          <w:sz w:val="28"/>
          <w:szCs w:val="28"/>
        </w:rPr>
        <w:fldChar w:fldCharType="end"/>
      </w:r>
    </w:p>
    <w:p w14:paraId="59029B72">
      <w:pPr>
        <w:pStyle w:val="27"/>
        <w:tabs>
          <w:tab w:val="right" w:leader="dot" w:pos="8731"/>
        </w:tabs>
        <w:rPr>
          <w:sz w:val="28"/>
          <w:szCs w:val="28"/>
        </w:rPr>
      </w:pPr>
      <w:r>
        <w:fldChar w:fldCharType="begin"/>
      </w:r>
      <w:r>
        <w:instrText xml:space="preserve"> HYPERLINK \l "_Toc30398" </w:instrText>
      </w:r>
      <w:r>
        <w:fldChar w:fldCharType="separate"/>
      </w:r>
      <w:r>
        <w:rPr>
          <w:rFonts w:hint="eastAsia" w:ascii="黑体" w:hAnsi="黑体" w:eastAsia="黑体" w:cs="黑体"/>
          <w:bCs w:val="0"/>
          <w:sz w:val="28"/>
          <w:szCs w:val="28"/>
        </w:rPr>
        <w:t>四、矿产资源开采与综合利用</w:t>
      </w:r>
      <w:r>
        <w:rPr>
          <w:sz w:val="28"/>
          <w:szCs w:val="28"/>
        </w:rPr>
        <w:tab/>
      </w:r>
      <w:r>
        <w:rPr>
          <w:sz w:val="28"/>
          <w:szCs w:val="28"/>
        </w:rPr>
        <w:fldChar w:fldCharType="begin"/>
      </w:r>
      <w:r>
        <w:rPr>
          <w:sz w:val="28"/>
          <w:szCs w:val="28"/>
        </w:rPr>
        <w:instrText xml:space="preserve"> PAGEREF _Toc30398 \h </w:instrText>
      </w:r>
      <w:r>
        <w:rPr>
          <w:sz w:val="28"/>
          <w:szCs w:val="28"/>
        </w:rPr>
        <w:fldChar w:fldCharType="separate"/>
      </w:r>
      <w:r>
        <w:rPr>
          <w:sz w:val="28"/>
          <w:szCs w:val="28"/>
        </w:rPr>
        <w:t>22</w:t>
      </w:r>
      <w:r>
        <w:rPr>
          <w:sz w:val="28"/>
          <w:szCs w:val="28"/>
        </w:rPr>
        <w:fldChar w:fldCharType="end"/>
      </w:r>
      <w:r>
        <w:rPr>
          <w:sz w:val="28"/>
          <w:szCs w:val="28"/>
        </w:rPr>
        <w:fldChar w:fldCharType="end"/>
      </w:r>
    </w:p>
    <w:p w14:paraId="21EE78DD">
      <w:pPr>
        <w:pStyle w:val="33"/>
        <w:tabs>
          <w:tab w:val="right" w:leader="dot" w:pos="8731"/>
        </w:tabs>
        <w:rPr>
          <w:sz w:val="28"/>
          <w:szCs w:val="28"/>
        </w:rPr>
      </w:pPr>
      <w:r>
        <w:fldChar w:fldCharType="begin"/>
      </w:r>
      <w:r>
        <w:instrText xml:space="preserve"> HYPERLINK \l "_Toc13658" </w:instrText>
      </w:r>
      <w:r>
        <w:fldChar w:fldCharType="separate"/>
      </w:r>
      <w:r>
        <w:rPr>
          <w:rFonts w:hint="eastAsia" w:ascii="宋体" w:hAnsi="宋体" w:cs="宋体"/>
          <w:bCs/>
          <w:sz w:val="28"/>
          <w:szCs w:val="28"/>
        </w:rPr>
        <w:t>（一）开采矿种</w:t>
      </w:r>
      <w:r>
        <w:rPr>
          <w:sz w:val="28"/>
          <w:szCs w:val="28"/>
        </w:rPr>
        <w:tab/>
      </w:r>
      <w:r>
        <w:rPr>
          <w:sz w:val="28"/>
          <w:szCs w:val="28"/>
        </w:rPr>
        <w:fldChar w:fldCharType="begin"/>
      </w:r>
      <w:r>
        <w:rPr>
          <w:sz w:val="28"/>
          <w:szCs w:val="28"/>
        </w:rPr>
        <w:instrText xml:space="preserve"> PAGEREF _Toc13658 \h </w:instrText>
      </w:r>
      <w:r>
        <w:rPr>
          <w:sz w:val="28"/>
          <w:szCs w:val="28"/>
        </w:rPr>
        <w:fldChar w:fldCharType="separate"/>
      </w:r>
      <w:r>
        <w:rPr>
          <w:sz w:val="28"/>
          <w:szCs w:val="28"/>
        </w:rPr>
        <w:t>22</w:t>
      </w:r>
      <w:r>
        <w:rPr>
          <w:sz w:val="28"/>
          <w:szCs w:val="28"/>
        </w:rPr>
        <w:fldChar w:fldCharType="end"/>
      </w:r>
      <w:r>
        <w:rPr>
          <w:sz w:val="28"/>
          <w:szCs w:val="28"/>
        </w:rPr>
        <w:fldChar w:fldCharType="end"/>
      </w:r>
    </w:p>
    <w:p w14:paraId="582C1E38">
      <w:pPr>
        <w:pStyle w:val="33"/>
        <w:tabs>
          <w:tab w:val="right" w:leader="dot" w:pos="8731"/>
        </w:tabs>
        <w:rPr>
          <w:sz w:val="28"/>
          <w:szCs w:val="28"/>
        </w:rPr>
      </w:pPr>
      <w:r>
        <w:fldChar w:fldCharType="begin"/>
      </w:r>
      <w:r>
        <w:instrText xml:space="preserve"> HYPERLINK \l "_Toc7837" </w:instrText>
      </w:r>
      <w:r>
        <w:fldChar w:fldCharType="separate"/>
      </w:r>
      <w:r>
        <w:rPr>
          <w:rFonts w:hint="eastAsia" w:ascii="宋体" w:hAnsi="宋体" w:cs="宋体"/>
          <w:bCs/>
          <w:sz w:val="28"/>
          <w:szCs w:val="28"/>
        </w:rPr>
        <w:t>（二）开采方式</w:t>
      </w:r>
      <w:r>
        <w:rPr>
          <w:sz w:val="28"/>
          <w:szCs w:val="28"/>
        </w:rPr>
        <w:tab/>
      </w:r>
      <w:r>
        <w:rPr>
          <w:sz w:val="28"/>
          <w:szCs w:val="28"/>
        </w:rPr>
        <w:fldChar w:fldCharType="begin"/>
      </w:r>
      <w:r>
        <w:rPr>
          <w:sz w:val="28"/>
          <w:szCs w:val="28"/>
        </w:rPr>
        <w:instrText xml:space="preserve"> PAGEREF _Toc7837 \h </w:instrText>
      </w:r>
      <w:r>
        <w:rPr>
          <w:sz w:val="28"/>
          <w:szCs w:val="28"/>
        </w:rPr>
        <w:fldChar w:fldCharType="separate"/>
      </w:r>
      <w:r>
        <w:rPr>
          <w:sz w:val="28"/>
          <w:szCs w:val="28"/>
        </w:rPr>
        <w:t>25</w:t>
      </w:r>
      <w:r>
        <w:rPr>
          <w:sz w:val="28"/>
          <w:szCs w:val="28"/>
        </w:rPr>
        <w:fldChar w:fldCharType="end"/>
      </w:r>
      <w:r>
        <w:rPr>
          <w:sz w:val="28"/>
          <w:szCs w:val="28"/>
        </w:rPr>
        <w:fldChar w:fldCharType="end"/>
      </w:r>
    </w:p>
    <w:p w14:paraId="0A668CC2">
      <w:pPr>
        <w:pStyle w:val="33"/>
        <w:tabs>
          <w:tab w:val="right" w:leader="dot" w:pos="8731"/>
        </w:tabs>
        <w:rPr>
          <w:sz w:val="28"/>
          <w:szCs w:val="28"/>
        </w:rPr>
      </w:pPr>
      <w:r>
        <w:fldChar w:fldCharType="begin"/>
      </w:r>
      <w:r>
        <w:instrText xml:space="preserve"> HYPERLINK \l "_Toc11327" </w:instrText>
      </w:r>
      <w:r>
        <w:fldChar w:fldCharType="separate"/>
      </w:r>
      <w:r>
        <w:rPr>
          <w:rFonts w:hint="eastAsia" w:ascii="宋体" w:hAnsi="宋体" w:cs="宋体"/>
          <w:bCs/>
          <w:sz w:val="28"/>
          <w:szCs w:val="28"/>
        </w:rPr>
        <w:t>（三）拟建生产规模</w:t>
      </w:r>
      <w:r>
        <w:rPr>
          <w:sz w:val="28"/>
          <w:szCs w:val="28"/>
        </w:rPr>
        <w:tab/>
      </w:r>
      <w:r>
        <w:rPr>
          <w:sz w:val="28"/>
          <w:szCs w:val="28"/>
        </w:rPr>
        <w:fldChar w:fldCharType="begin"/>
      </w:r>
      <w:r>
        <w:rPr>
          <w:sz w:val="28"/>
          <w:szCs w:val="28"/>
        </w:rPr>
        <w:instrText xml:space="preserve"> PAGEREF _Toc11327 \h </w:instrText>
      </w:r>
      <w:r>
        <w:rPr>
          <w:sz w:val="28"/>
          <w:szCs w:val="28"/>
        </w:rPr>
        <w:fldChar w:fldCharType="separate"/>
      </w:r>
      <w:r>
        <w:rPr>
          <w:sz w:val="28"/>
          <w:szCs w:val="28"/>
        </w:rPr>
        <w:t>37</w:t>
      </w:r>
      <w:r>
        <w:rPr>
          <w:sz w:val="28"/>
          <w:szCs w:val="28"/>
        </w:rPr>
        <w:fldChar w:fldCharType="end"/>
      </w:r>
      <w:r>
        <w:rPr>
          <w:sz w:val="28"/>
          <w:szCs w:val="28"/>
        </w:rPr>
        <w:fldChar w:fldCharType="end"/>
      </w:r>
    </w:p>
    <w:p w14:paraId="0DEE339B">
      <w:pPr>
        <w:pStyle w:val="33"/>
        <w:tabs>
          <w:tab w:val="right" w:leader="dot" w:pos="8731"/>
        </w:tabs>
        <w:rPr>
          <w:sz w:val="28"/>
          <w:szCs w:val="28"/>
        </w:rPr>
      </w:pPr>
      <w:r>
        <w:fldChar w:fldCharType="begin"/>
      </w:r>
      <w:r>
        <w:instrText xml:space="preserve"> HYPERLINK \l "_Toc15619" </w:instrText>
      </w:r>
      <w:r>
        <w:fldChar w:fldCharType="separate"/>
      </w:r>
      <w:r>
        <w:rPr>
          <w:rFonts w:hint="eastAsia" w:ascii="宋体" w:hAnsi="宋体" w:cs="宋体"/>
          <w:bCs/>
          <w:sz w:val="28"/>
          <w:szCs w:val="28"/>
        </w:rPr>
        <w:t>（四）资源综合利用</w:t>
      </w:r>
      <w:r>
        <w:rPr>
          <w:sz w:val="28"/>
          <w:szCs w:val="28"/>
        </w:rPr>
        <w:tab/>
      </w:r>
      <w:r>
        <w:rPr>
          <w:sz w:val="28"/>
          <w:szCs w:val="28"/>
        </w:rPr>
        <w:fldChar w:fldCharType="begin"/>
      </w:r>
      <w:r>
        <w:rPr>
          <w:sz w:val="28"/>
          <w:szCs w:val="28"/>
        </w:rPr>
        <w:instrText xml:space="preserve"> PAGEREF _Toc15619 \h </w:instrText>
      </w:r>
      <w:r>
        <w:rPr>
          <w:sz w:val="28"/>
          <w:szCs w:val="28"/>
        </w:rPr>
        <w:fldChar w:fldCharType="separate"/>
      </w:r>
      <w:r>
        <w:rPr>
          <w:sz w:val="28"/>
          <w:szCs w:val="28"/>
        </w:rPr>
        <w:t>39</w:t>
      </w:r>
      <w:r>
        <w:rPr>
          <w:sz w:val="28"/>
          <w:szCs w:val="28"/>
        </w:rPr>
        <w:fldChar w:fldCharType="end"/>
      </w:r>
      <w:r>
        <w:rPr>
          <w:sz w:val="28"/>
          <w:szCs w:val="28"/>
        </w:rPr>
        <w:fldChar w:fldCharType="end"/>
      </w:r>
    </w:p>
    <w:p w14:paraId="47B773FD">
      <w:pPr>
        <w:pStyle w:val="27"/>
        <w:tabs>
          <w:tab w:val="right" w:leader="dot" w:pos="8731"/>
        </w:tabs>
        <w:rPr>
          <w:sz w:val="28"/>
          <w:szCs w:val="28"/>
        </w:rPr>
      </w:pPr>
      <w:r>
        <w:fldChar w:fldCharType="begin"/>
      </w:r>
      <w:r>
        <w:instrText xml:space="preserve"> HYPERLINK \l "_Toc23530" </w:instrText>
      </w:r>
      <w:r>
        <w:fldChar w:fldCharType="separate"/>
      </w:r>
      <w:r>
        <w:rPr>
          <w:rFonts w:hint="eastAsia"/>
          <w:sz w:val="28"/>
          <w:szCs w:val="28"/>
        </w:rPr>
        <w:t>五、结论</w:t>
      </w:r>
      <w:r>
        <w:rPr>
          <w:sz w:val="28"/>
          <w:szCs w:val="28"/>
        </w:rPr>
        <w:tab/>
      </w:r>
      <w:r>
        <w:rPr>
          <w:sz w:val="28"/>
          <w:szCs w:val="28"/>
        </w:rPr>
        <w:fldChar w:fldCharType="begin"/>
      </w:r>
      <w:r>
        <w:rPr>
          <w:sz w:val="28"/>
          <w:szCs w:val="28"/>
        </w:rPr>
        <w:instrText xml:space="preserve"> PAGEREF _Toc23530 \h </w:instrText>
      </w:r>
      <w:r>
        <w:rPr>
          <w:sz w:val="28"/>
          <w:szCs w:val="28"/>
        </w:rPr>
        <w:fldChar w:fldCharType="separate"/>
      </w:r>
      <w:r>
        <w:rPr>
          <w:sz w:val="28"/>
          <w:szCs w:val="28"/>
        </w:rPr>
        <w:t>39</w:t>
      </w:r>
      <w:r>
        <w:rPr>
          <w:sz w:val="28"/>
          <w:szCs w:val="28"/>
        </w:rPr>
        <w:fldChar w:fldCharType="end"/>
      </w:r>
      <w:r>
        <w:rPr>
          <w:sz w:val="28"/>
          <w:szCs w:val="28"/>
        </w:rPr>
        <w:fldChar w:fldCharType="end"/>
      </w:r>
    </w:p>
    <w:p w14:paraId="2E4512A6">
      <w:pPr>
        <w:pStyle w:val="33"/>
        <w:tabs>
          <w:tab w:val="right" w:leader="dot" w:pos="8731"/>
        </w:tabs>
        <w:rPr>
          <w:sz w:val="28"/>
          <w:szCs w:val="28"/>
        </w:rPr>
      </w:pPr>
      <w:r>
        <w:fldChar w:fldCharType="begin"/>
      </w:r>
      <w:r>
        <w:instrText xml:space="preserve"> HYPERLINK \l "_Toc20751" </w:instrText>
      </w:r>
      <w:r>
        <w:fldChar w:fldCharType="separate"/>
      </w:r>
      <w:r>
        <w:rPr>
          <w:rFonts w:hint="eastAsia"/>
          <w:sz w:val="28"/>
          <w:szCs w:val="28"/>
        </w:rPr>
        <w:t>（一）资源储量与估算设计利用资源量</w:t>
      </w:r>
      <w:r>
        <w:rPr>
          <w:sz w:val="28"/>
          <w:szCs w:val="28"/>
        </w:rPr>
        <w:tab/>
      </w:r>
      <w:r>
        <w:rPr>
          <w:sz w:val="28"/>
          <w:szCs w:val="28"/>
        </w:rPr>
        <w:fldChar w:fldCharType="begin"/>
      </w:r>
      <w:r>
        <w:rPr>
          <w:sz w:val="28"/>
          <w:szCs w:val="28"/>
        </w:rPr>
        <w:instrText xml:space="preserve"> PAGEREF _Toc20751 \h </w:instrText>
      </w:r>
      <w:r>
        <w:rPr>
          <w:sz w:val="28"/>
          <w:szCs w:val="28"/>
        </w:rPr>
        <w:fldChar w:fldCharType="separate"/>
      </w:r>
      <w:r>
        <w:rPr>
          <w:sz w:val="28"/>
          <w:szCs w:val="28"/>
        </w:rPr>
        <w:t>39</w:t>
      </w:r>
      <w:r>
        <w:rPr>
          <w:sz w:val="28"/>
          <w:szCs w:val="28"/>
        </w:rPr>
        <w:fldChar w:fldCharType="end"/>
      </w:r>
      <w:r>
        <w:rPr>
          <w:sz w:val="28"/>
          <w:szCs w:val="28"/>
        </w:rPr>
        <w:fldChar w:fldCharType="end"/>
      </w:r>
    </w:p>
    <w:p w14:paraId="5A78E6D1">
      <w:pPr>
        <w:pStyle w:val="33"/>
        <w:tabs>
          <w:tab w:val="right" w:leader="dot" w:pos="8731"/>
        </w:tabs>
        <w:rPr>
          <w:sz w:val="28"/>
          <w:szCs w:val="28"/>
        </w:rPr>
      </w:pPr>
      <w:r>
        <w:fldChar w:fldCharType="begin"/>
      </w:r>
      <w:r>
        <w:instrText xml:space="preserve"> HYPERLINK \l "_Toc27591" </w:instrText>
      </w:r>
      <w:r>
        <w:fldChar w:fldCharType="separate"/>
      </w:r>
      <w:r>
        <w:rPr>
          <w:rFonts w:hint="eastAsia"/>
          <w:sz w:val="28"/>
          <w:szCs w:val="28"/>
        </w:rPr>
        <w:t>（二）申请采矿权矿区范围</w:t>
      </w:r>
      <w:r>
        <w:rPr>
          <w:sz w:val="28"/>
          <w:szCs w:val="28"/>
        </w:rPr>
        <w:tab/>
      </w:r>
      <w:r>
        <w:rPr>
          <w:sz w:val="28"/>
          <w:szCs w:val="28"/>
        </w:rPr>
        <w:fldChar w:fldCharType="begin"/>
      </w:r>
      <w:r>
        <w:rPr>
          <w:sz w:val="28"/>
          <w:szCs w:val="28"/>
        </w:rPr>
        <w:instrText xml:space="preserve"> PAGEREF _Toc27591 \h </w:instrText>
      </w:r>
      <w:r>
        <w:rPr>
          <w:sz w:val="28"/>
          <w:szCs w:val="28"/>
        </w:rPr>
        <w:fldChar w:fldCharType="separate"/>
      </w:r>
      <w:r>
        <w:rPr>
          <w:sz w:val="28"/>
          <w:szCs w:val="28"/>
        </w:rPr>
        <w:t>40</w:t>
      </w:r>
      <w:r>
        <w:rPr>
          <w:sz w:val="28"/>
          <w:szCs w:val="28"/>
        </w:rPr>
        <w:fldChar w:fldCharType="end"/>
      </w:r>
      <w:r>
        <w:rPr>
          <w:sz w:val="28"/>
          <w:szCs w:val="28"/>
        </w:rPr>
        <w:fldChar w:fldCharType="end"/>
      </w:r>
    </w:p>
    <w:p w14:paraId="0D1A8765">
      <w:pPr>
        <w:pStyle w:val="33"/>
        <w:tabs>
          <w:tab w:val="right" w:leader="dot" w:pos="8731"/>
        </w:tabs>
        <w:rPr>
          <w:sz w:val="28"/>
          <w:szCs w:val="28"/>
        </w:rPr>
      </w:pPr>
      <w:r>
        <w:fldChar w:fldCharType="begin"/>
      </w:r>
      <w:r>
        <w:instrText xml:space="preserve"> HYPERLINK \l "_Toc7704" </w:instrText>
      </w:r>
      <w:r>
        <w:fldChar w:fldCharType="separate"/>
      </w:r>
      <w:r>
        <w:rPr>
          <w:rFonts w:hint="eastAsia"/>
          <w:sz w:val="28"/>
          <w:szCs w:val="28"/>
        </w:rPr>
        <w:t>（三）开采矿种</w:t>
      </w:r>
      <w:r>
        <w:rPr>
          <w:sz w:val="28"/>
          <w:szCs w:val="28"/>
        </w:rPr>
        <w:tab/>
      </w:r>
      <w:r>
        <w:rPr>
          <w:sz w:val="28"/>
          <w:szCs w:val="28"/>
        </w:rPr>
        <w:fldChar w:fldCharType="begin"/>
      </w:r>
      <w:r>
        <w:rPr>
          <w:sz w:val="28"/>
          <w:szCs w:val="28"/>
        </w:rPr>
        <w:instrText xml:space="preserve"> PAGEREF _Toc7704 \h </w:instrText>
      </w:r>
      <w:r>
        <w:rPr>
          <w:sz w:val="28"/>
          <w:szCs w:val="28"/>
        </w:rPr>
        <w:fldChar w:fldCharType="separate"/>
      </w:r>
      <w:r>
        <w:rPr>
          <w:sz w:val="28"/>
          <w:szCs w:val="28"/>
        </w:rPr>
        <w:t>40</w:t>
      </w:r>
      <w:r>
        <w:rPr>
          <w:sz w:val="28"/>
          <w:szCs w:val="28"/>
        </w:rPr>
        <w:fldChar w:fldCharType="end"/>
      </w:r>
      <w:r>
        <w:rPr>
          <w:sz w:val="28"/>
          <w:szCs w:val="28"/>
        </w:rPr>
        <w:fldChar w:fldCharType="end"/>
      </w:r>
    </w:p>
    <w:p w14:paraId="7A2B5723">
      <w:pPr>
        <w:pStyle w:val="33"/>
        <w:tabs>
          <w:tab w:val="right" w:leader="dot" w:pos="8731"/>
        </w:tabs>
        <w:rPr>
          <w:sz w:val="28"/>
          <w:szCs w:val="28"/>
        </w:rPr>
      </w:pPr>
      <w:r>
        <w:fldChar w:fldCharType="begin"/>
      </w:r>
      <w:r>
        <w:instrText xml:space="preserve"> HYPERLINK \l "_Toc27881" </w:instrText>
      </w:r>
      <w:r>
        <w:fldChar w:fldCharType="separate"/>
      </w:r>
      <w:r>
        <w:rPr>
          <w:rFonts w:hint="eastAsia"/>
          <w:sz w:val="28"/>
          <w:szCs w:val="28"/>
        </w:rPr>
        <w:t>（四）开采方式、开采顺序、采矿方法</w:t>
      </w:r>
      <w:r>
        <w:rPr>
          <w:sz w:val="28"/>
          <w:szCs w:val="28"/>
        </w:rPr>
        <w:tab/>
      </w:r>
      <w:r>
        <w:rPr>
          <w:sz w:val="28"/>
          <w:szCs w:val="28"/>
        </w:rPr>
        <w:fldChar w:fldCharType="begin"/>
      </w:r>
      <w:r>
        <w:rPr>
          <w:sz w:val="28"/>
          <w:szCs w:val="28"/>
        </w:rPr>
        <w:instrText xml:space="preserve"> PAGEREF _Toc27881 \h </w:instrText>
      </w:r>
      <w:r>
        <w:rPr>
          <w:sz w:val="28"/>
          <w:szCs w:val="28"/>
        </w:rPr>
        <w:fldChar w:fldCharType="separate"/>
      </w:r>
      <w:r>
        <w:rPr>
          <w:sz w:val="28"/>
          <w:szCs w:val="28"/>
        </w:rPr>
        <w:t>40</w:t>
      </w:r>
      <w:r>
        <w:rPr>
          <w:sz w:val="28"/>
          <w:szCs w:val="28"/>
        </w:rPr>
        <w:fldChar w:fldCharType="end"/>
      </w:r>
      <w:r>
        <w:rPr>
          <w:sz w:val="28"/>
          <w:szCs w:val="28"/>
        </w:rPr>
        <w:fldChar w:fldCharType="end"/>
      </w:r>
    </w:p>
    <w:p w14:paraId="5CEA0BB0">
      <w:pPr>
        <w:pStyle w:val="33"/>
        <w:tabs>
          <w:tab w:val="right" w:leader="dot" w:pos="8731"/>
        </w:tabs>
        <w:rPr>
          <w:sz w:val="28"/>
          <w:szCs w:val="28"/>
        </w:rPr>
      </w:pPr>
      <w:r>
        <w:fldChar w:fldCharType="begin"/>
      </w:r>
      <w:r>
        <w:instrText xml:space="preserve"> HYPERLINK \l "_Toc18330" </w:instrText>
      </w:r>
      <w:r>
        <w:fldChar w:fldCharType="separate"/>
      </w:r>
      <w:r>
        <w:rPr>
          <w:rFonts w:hint="eastAsia"/>
          <w:sz w:val="28"/>
          <w:szCs w:val="28"/>
        </w:rPr>
        <w:t>（五）拟建生产规模、矿山服务年限</w:t>
      </w:r>
      <w:r>
        <w:rPr>
          <w:sz w:val="28"/>
          <w:szCs w:val="28"/>
        </w:rPr>
        <w:tab/>
      </w:r>
      <w:r>
        <w:rPr>
          <w:sz w:val="28"/>
          <w:szCs w:val="28"/>
        </w:rPr>
        <w:fldChar w:fldCharType="begin"/>
      </w:r>
      <w:r>
        <w:rPr>
          <w:sz w:val="28"/>
          <w:szCs w:val="28"/>
        </w:rPr>
        <w:instrText xml:space="preserve"> PAGEREF _Toc18330 \h </w:instrText>
      </w:r>
      <w:r>
        <w:rPr>
          <w:sz w:val="28"/>
          <w:szCs w:val="28"/>
        </w:rPr>
        <w:fldChar w:fldCharType="separate"/>
      </w:r>
      <w:r>
        <w:rPr>
          <w:sz w:val="28"/>
          <w:szCs w:val="28"/>
        </w:rPr>
        <w:t>41</w:t>
      </w:r>
      <w:r>
        <w:rPr>
          <w:sz w:val="28"/>
          <w:szCs w:val="28"/>
        </w:rPr>
        <w:fldChar w:fldCharType="end"/>
      </w:r>
      <w:r>
        <w:rPr>
          <w:sz w:val="28"/>
          <w:szCs w:val="28"/>
        </w:rPr>
        <w:fldChar w:fldCharType="end"/>
      </w:r>
    </w:p>
    <w:p w14:paraId="29A1D2C6">
      <w:pPr>
        <w:pStyle w:val="33"/>
        <w:tabs>
          <w:tab w:val="right" w:leader="dot" w:pos="8731"/>
        </w:tabs>
        <w:rPr>
          <w:sz w:val="28"/>
          <w:szCs w:val="28"/>
        </w:rPr>
      </w:pPr>
      <w:r>
        <w:fldChar w:fldCharType="begin"/>
      </w:r>
      <w:r>
        <w:instrText xml:space="preserve"> HYPERLINK \l "_Toc14535" </w:instrText>
      </w:r>
      <w:r>
        <w:fldChar w:fldCharType="separate"/>
      </w:r>
      <w:r>
        <w:rPr>
          <w:rFonts w:hint="eastAsia"/>
          <w:sz w:val="28"/>
          <w:szCs w:val="28"/>
        </w:rPr>
        <w:t>（六）资源综合利用</w:t>
      </w:r>
      <w:r>
        <w:rPr>
          <w:sz w:val="28"/>
          <w:szCs w:val="28"/>
        </w:rPr>
        <w:tab/>
      </w:r>
      <w:r>
        <w:rPr>
          <w:sz w:val="28"/>
          <w:szCs w:val="28"/>
        </w:rPr>
        <w:fldChar w:fldCharType="begin"/>
      </w:r>
      <w:r>
        <w:rPr>
          <w:sz w:val="28"/>
          <w:szCs w:val="28"/>
        </w:rPr>
        <w:instrText xml:space="preserve"> PAGEREF _Toc14535 \h </w:instrText>
      </w:r>
      <w:r>
        <w:rPr>
          <w:sz w:val="28"/>
          <w:szCs w:val="28"/>
        </w:rPr>
        <w:fldChar w:fldCharType="separate"/>
      </w:r>
      <w:r>
        <w:rPr>
          <w:sz w:val="28"/>
          <w:szCs w:val="28"/>
        </w:rPr>
        <w:t>41</w:t>
      </w:r>
      <w:r>
        <w:rPr>
          <w:sz w:val="28"/>
          <w:szCs w:val="28"/>
        </w:rPr>
        <w:fldChar w:fldCharType="end"/>
      </w:r>
      <w:r>
        <w:rPr>
          <w:sz w:val="28"/>
          <w:szCs w:val="28"/>
        </w:rPr>
        <w:fldChar w:fldCharType="end"/>
      </w:r>
    </w:p>
    <w:p w14:paraId="7DD6C52C">
      <w:pPr>
        <w:pStyle w:val="33"/>
        <w:tabs>
          <w:tab w:val="right" w:leader="dot" w:pos="8706"/>
        </w:tabs>
        <w:spacing w:line="360" w:lineRule="auto"/>
        <w:ind w:left="0"/>
        <w:jc w:val="both"/>
        <w:rPr>
          <w:rFonts w:ascii="仿宋" w:hAnsi="仿宋" w:eastAsia="仿宋" w:cs="仿宋"/>
          <w:b/>
          <w:bCs/>
          <w:color w:val="0000FF"/>
          <w:szCs w:val="28"/>
        </w:rPr>
      </w:pPr>
      <w:r>
        <w:rPr>
          <w:rFonts w:hint="eastAsia" w:ascii="仿宋" w:hAnsi="仿宋" w:eastAsia="仿宋" w:cs="仿宋"/>
          <w:bCs/>
          <w:color w:val="FF0000"/>
          <w:sz w:val="28"/>
          <w:szCs w:val="28"/>
        </w:rPr>
        <w:fldChar w:fldCharType="end"/>
      </w:r>
    </w:p>
    <w:p w14:paraId="61AA4F4A">
      <w:pPr>
        <w:pStyle w:val="33"/>
        <w:tabs>
          <w:tab w:val="right" w:leader="dot" w:pos="8706"/>
        </w:tabs>
        <w:spacing w:line="360" w:lineRule="auto"/>
        <w:ind w:left="0"/>
        <w:jc w:val="both"/>
        <w:rPr>
          <w:rFonts w:ascii="仿宋" w:hAnsi="仿宋" w:eastAsia="仿宋" w:cs="仿宋"/>
          <w:bCs/>
          <w:color w:val="0000FF"/>
          <w:sz w:val="28"/>
          <w:szCs w:val="28"/>
        </w:rPr>
      </w:pPr>
    </w:p>
    <w:p w14:paraId="0953ECF6">
      <w:pPr>
        <w:rPr>
          <w:color w:val="0000FF"/>
        </w:rPr>
        <w:sectPr>
          <w:headerReference r:id="rId3" w:type="default"/>
          <w:footerReference r:id="rId4" w:type="default"/>
          <w:pgSz w:w="11906" w:h="16838"/>
          <w:pgMar w:top="1429" w:right="1661" w:bottom="1208" w:left="1514" w:header="1020" w:footer="907" w:gutter="0"/>
          <w:pgNumType w:start="1"/>
          <w:cols w:space="0" w:num="1"/>
          <w:docGrid w:linePitch="312" w:charSpace="0"/>
        </w:sectPr>
      </w:pPr>
    </w:p>
    <w:bookmarkEnd w:id="0"/>
    <w:p w14:paraId="5FD6735D">
      <w:pPr>
        <w:spacing w:line="360" w:lineRule="auto"/>
        <w:ind w:left="44"/>
        <w:rPr>
          <w:rFonts w:ascii="黑体" w:hAnsi="黑体" w:eastAsia="黑体" w:cs="黑体"/>
          <w:spacing w:val="-6"/>
          <w:sz w:val="36"/>
          <w:szCs w:val="36"/>
        </w:rPr>
      </w:pPr>
      <w:bookmarkStart w:id="4" w:name="OLE_LINK5"/>
      <w:bookmarkStart w:id="5" w:name="_Toc472"/>
      <w:bookmarkStart w:id="6" w:name="_Toc252630923"/>
      <w:bookmarkStart w:id="7" w:name="_Toc213057562"/>
      <w:r>
        <w:rPr>
          <w:rFonts w:ascii="黑体" w:hAnsi="黑体" w:eastAsia="黑体" w:cs="黑体"/>
          <w:spacing w:val="-6"/>
          <w:sz w:val="36"/>
          <w:szCs w:val="36"/>
        </w:rPr>
        <w:t>附件</w:t>
      </w:r>
    </w:p>
    <w:p w14:paraId="1272B34A">
      <w:pPr>
        <w:spacing w:line="360" w:lineRule="auto"/>
        <w:ind w:firstLine="420"/>
        <w:rPr>
          <w:rFonts w:ascii="宋体" w:cs="宋体"/>
          <w:kern w:val="0"/>
          <w:sz w:val="28"/>
          <w:szCs w:val="28"/>
        </w:rPr>
      </w:pPr>
      <w:r>
        <w:rPr>
          <w:rFonts w:hint="eastAsia" w:ascii="宋体" w:cs="宋体"/>
          <w:kern w:val="0"/>
          <w:sz w:val="28"/>
          <w:szCs w:val="28"/>
        </w:rPr>
        <w:t>1、营业执照</w:t>
      </w:r>
    </w:p>
    <w:p w14:paraId="35F7615C">
      <w:pPr>
        <w:spacing w:line="360" w:lineRule="auto"/>
        <w:ind w:firstLine="420"/>
        <w:rPr>
          <w:rFonts w:ascii="宋体" w:cs="宋体"/>
          <w:kern w:val="0"/>
          <w:sz w:val="28"/>
          <w:szCs w:val="28"/>
        </w:rPr>
      </w:pPr>
      <w:r>
        <w:rPr>
          <w:rFonts w:hint="eastAsia" w:ascii="宋体" w:cs="宋体"/>
          <w:kern w:val="0"/>
          <w:sz w:val="28"/>
          <w:szCs w:val="28"/>
        </w:rPr>
        <w:t>2、开发利用方案编制信息及承诺书</w:t>
      </w:r>
    </w:p>
    <w:p w14:paraId="1675379C">
      <w:pPr>
        <w:spacing w:line="360" w:lineRule="auto"/>
        <w:ind w:firstLine="420"/>
        <w:rPr>
          <w:rFonts w:ascii="宋体" w:cs="宋体"/>
          <w:kern w:val="0"/>
          <w:sz w:val="28"/>
          <w:szCs w:val="28"/>
        </w:rPr>
      </w:pPr>
      <w:r>
        <w:rPr>
          <w:rFonts w:hint="eastAsia" w:ascii="宋体" w:cs="宋体"/>
          <w:kern w:val="0"/>
          <w:sz w:val="28"/>
          <w:szCs w:val="28"/>
        </w:rPr>
        <w:t>3、开发利用方案综合信息表</w:t>
      </w:r>
    </w:p>
    <w:p w14:paraId="60350D90">
      <w:pPr>
        <w:spacing w:line="360" w:lineRule="auto"/>
        <w:ind w:firstLine="420"/>
        <w:rPr>
          <w:rFonts w:ascii="宋体" w:hAnsi="宋体" w:cs="宋体"/>
          <w:sz w:val="28"/>
          <w:szCs w:val="28"/>
        </w:rPr>
      </w:pPr>
      <w:r>
        <w:rPr>
          <w:rFonts w:hint="eastAsia" w:ascii="宋体" w:hAnsi="宋体" w:cs="宋体"/>
          <w:sz w:val="28"/>
          <w:szCs w:val="28"/>
        </w:rPr>
        <w:t>4、《辽宁省铁岭县李千户镇金家沟村建筑用白云岩详查报告》评审备案证明》（铁县自然资储备字[2025]01号），铁岭县自然资源局，2025年4月10日</w:t>
      </w:r>
    </w:p>
    <w:p w14:paraId="6F866B41">
      <w:pPr>
        <w:spacing w:line="360" w:lineRule="auto"/>
        <w:ind w:firstLine="420"/>
        <w:rPr>
          <w:rFonts w:ascii="宋体" w:hAnsi="宋体" w:cs="宋体"/>
          <w:sz w:val="28"/>
          <w:szCs w:val="28"/>
        </w:rPr>
      </w:pPr>
      <w:r>
        <w:rPr>
          <w:rFonts w:hint="eastAsia" w:ascii="宋体" w:hAnsi="宋体" w:cs="宋体"/>
          <w:sz w:val="28"/>
          <w:szCs w:val="28"/>
        </w:rPr>
        <w:t>5、《辽宁省铁岭县李千户镇金家沟村建筑用白云岩详查报告评审意见书》（铁自事评（储）字[2025]009号），铁岭市自然资源事务服务中心，2025年4月8日</w:t>
      </w:r>
    </w:p>
    <w:p w14:paraId="6CDAB0AA">
      <w:pPr>
        <w:spacing w:line="360" w:lineRule="auto"/>
        <w:ind w:firstLine="420"/>
        <w:rPr>
          <w:rFonts w:ascii="宋体" w:hAnsi="宋体" w:cs="宋体"/>
          <w:sz w:val="28"/>
          <w:szCs w:val="28"/>
        </w:rPr>
      </w:pPr>
      <w:r>
        <w:rPr>
          <w:rFonts w:hint="eastAsia" w:ascii="宋体" w:hAnsi="宋体" w:cs="宋体"/>
          <w:sz w:val="28"/>
          <w:szCs w:val="28"/>
        </w:rPr>
        <w:t>6、关于3DMine矿山工程软件矿产资源储量估算功能模块评审备案的公告</w:t>
      </w:r>
    </w:p>
    <w:p w14:paraId="40990FBE">
      <w:pPr>
        <w:spacing w:line="360" w:lineRule="auto"/>
        <w:ind w:firstLine="420"/>
        <w:rPr>
          <w:rFonts w:ascii="宋体" w:hAnsi="宋体" w:cs="宋体"/>
          <w:sz w:val="24"/>
        </w:rPr>
      </w:pPr>
    </w:p>
    <w:p w14:paraId="4F52AC99">
      <w:pPr>
        <w:spacing w:before="150" w:line="230" w:lineRule="auto"/>
        <w:ind w:left="44"/>
        <w:rPr>
          <w:rFonts w:ascii="黑体" w:hAnsi="黑体" w:eastAsia="黑体" w:cs="黑体"/>
          <w:spacing w:val="-6"/>
          <w:sz w:val="36"/>
          <w:szCs w:val="36"/>
        </w:rPr>
      </w:pPr>
      <w:r>
        <w:rPr>
          <w:rFonts w:ascii="黑体" w:hAnsi="黑体" w:eastAsia="黑体" w:cs="黑体"/>
          <w:spacing w:val="-6"/>
          <w:sz w:val="36"/>
          <w:szCs w:val="36"/>
        </w:rPr>
        <w:t>附图</w:t>
      </w:r>
    </w:p>
    <w:p w14:paraId="5EFA835C">
      <w:pPr>
        <w:spacing w:before="150" w:line="230" w:lineRule="auto"/>
        <w:ind w:left="44"/>
        <w:rPr>
          <w:rFonts w:ascii="黑体" w:hAnsi="黑体" w:eastAsia="黑体" w:cs="黑体"/>
          <w:spacing w:val="-6"/>
          <w:sz w:val="31"/>
          <w:szCs w:val="31"/>
        </w:rPr>
      </w:pPr>
    </w:p>
    <w:p w14:paraId="71AA6A2A">
      <w:pPr>
        <w:spacing w:line="360" w:lineRule="auto"/>
        <w:rPr>
          <w:rFonts w:ascii="宋体" w:hAnsi="宋体" w:cs="宋体"/>
          <w:sz w:val="28"/>
          <w:szCs w:val="28"/>
        </w:rPr>
      </w:pPr>
      <w:r>
        <w:rPr>
          <w:rFonts w:hint="eastAsia" w:ascii="宋体" w:hAnsi="宋体" w:cs="宋体"/>
          <w:sz w:val="28"/>
          <w:szCs w:val="28"/>
        </w:rPr>
        <w:t>1、铁岭县金家沟村建筑用白云岩、石英砂岩矿区范围图       1:2000</w:t>
      </w:r>
    </w:p>
    <w:p w14:paraId="541AFEB7">
      <w:pPr>
        <w:spacing w:line="360" w:lineRule="auto"/>
        <w:rPr>
          <w:rFonts w:ascii="宋体" w:hAnsi="宋体" w:cs="宋体"/>
          <w:sz w:val="28"/>
          <w:szCs w:val="28"/>
        </w:rPr>
      </w:pPr>
      <w:r>
        <w:rPr>
          <w:rFonts w:hint="eastAsia" w:ascii="宋体" w:hAnsi="宋体" w:cs="宋体"/>
          <w:sz w:val="28"/>
          <w:szCs w:val="28"/>
        </w:rPr>
        <w:t>2、铁岭县金家沟村建筑用白云岩、石英砂岩矿区开采终了图(平面布置)</w:t>
      </w:r>
    </w:p>
    <w:p w14:paraId="2CD55154">
      <w:pPr>
        <w:spacing w:line="360" w:lineRule="auto"/>
        <w:jc w:val="right"/>
        <w:rPr>
          <w:rFonts w:ascii="宋体" w:hAnsi="宋体" w:cs="宋体"/>
          <w:sz w:val="28"/>
          <w:szCs w:val="28"/>
        </w:rPr>
      </w:pPr>
      <w:r>
        <w:rPr>
          <w:rFonts w:hint="eastAsia" w:ascii="宋体" w:hAnsi="宋体" w:cs="宋体"/>
          <w:sz w:val="28"/>
          <w:szCs w:val="28"/>
        </w:rPr>
        <w:t>1:2000</w:t>
      </w:r>
    </w:p>
    <w:p w14:paraId="5D5D9852">
      <w:pPr>
        <w:spacing w:line="360" w:lineRule="auto"/>
        <w:rPr>
          <w:rFonts w:ascii="宋体" w:hAnsi="宋体" w:cs="宋体"/>
          <w:sz w:val="28"/>
          <w:szCs w:val="28"/>
        </w:rPr>
      </w:pPr>
      <w:r>
        <w:rPr>
          <w:rFonts w:hint="eastAsia" w:ascii="宋体" w:hAnsi="宋体" w:cs="宋体"/>
          <w:sz w:val="28"/>
          <w:szCs w:val="28"/>
        </w:rPr>
        <w:t>3、铁岭县金家沟村建筑用白云岩、石英砂岩矿区开采典型剖面图1:2000</w:t>
      </w:r>
    </w:p>
    <w:p w14:paraId="47F1A800">
      <w:pPr>
        <w:spacing w:line="360" w:lineRule="auto"/>
        <w:rPr>
          <w:rFonts w:ascii="宋体" w:hAnsi="宋体" w:cs="宋体"/>
          <w:sz w:val="28"/>
          <w:szCs w:val="28"/>
        </w:rPr>
      </w:pPr>
      <w:r>
        <w:rPr>
          <w:rFonts w:hint="eastAsia" w:ascii="宋体" w:hAnsi="宋体" w:cs="宋体"/>
          <w:sz w:val="28"/>
          <w:szCs w:val="28"/>
        </w:rPr>
        <w:t>4、铁岭县金家沟村建筑用白云岩、石英砂岩矿区叠合图        1:2000</w:t>
      </w:r>
    </w:p>
    <w:p w14:paraId="7427ABBB">
      <w:pPr>
        <w:spacing w:line="360" w:lineRule="auto"/>
        <w:ind w:left="210" w:leftChars="100"/>
        <w:jc w:val="left"/>
        <w:rPr>
          <w:rFonts w:ascii="仿宋" w:hAnsi="仿宋" w:eastAsia="仿宋" w:cs="仿宋"/>
          <w:color w:val="0000FF"/>
          <w:sz w:val="28"/>
          <w:szCs w:val="28"/>
        </w:rPr>
      </w:pPr>
    </w:p>
    <w:p w14:paraId="102A9B3F">
      <w:pPr>
        <w:spacing w:line="360" w:lineRule="auto"/>
        <w:ind w:left="210" w:leftChars="100"/>
        <w:jc w:val="left"/>
        <w:rPr>
          <w:rFonts w:ascii="仿宋" w:hAnsi="仿宋" w:eastAsia="仿宋" w:cs="仿宋"/>
          <w:color w:val="0000FF"/>
          <w:sz w:val="28"/>
          <w:szCs w:val="28"/>
        </w:rPr>
      </w:pPr>
    </w:p>
    <w:p w14:paraId="7620049C">
      <w:pPr>
        <w:spacing w:line="360" w:lineRule="auto"/>
        <w:ind w:left="210" w:leftChars="100"/>
        <w:jc w:val="left"/>
        <w:rPr>
          <w:rFonts w:ascii="仿宋" w:hAnsi="仿宋" w:eastAsia="仿宋" w:cs="仿宋"/>
          <w:color w:val="0000FF"/>
          <w:sz w:val="28"/>
          <w:szCs w:val="28"/>
        </w:rPr>
      </w:pPr>
    </w:p>
    <w:p w14:paraId="17803984">
      <w:pPr>
        <w:spacing w:line="360" w:lineRule="auto"/>
        <w:ind w:left="210" w:leftChars="100"/>
        <w:jc w:val="left"/>
        <w:rPr>
          <w:rFonts w:ascii="仿宋" w:hAnsi="仿宋" w:eastAsia="仿宋" w:cs="仿宋"/>
          <w:color w:val="0000FF"/>
          <w:sz w:val="28"/>
          <w:szCs w:val="28"/>
        </w:rPr>
      </w:pPr>
    </w:p>
    <w:p w14:paraId="252C5090">
      <w:pPr>
        <w:spacing w:line="360" w:lineRule="auto"/>
        <w:ind w:left="210" w:leftChars="100"/>
        <w:jc w:val="left"/>
        <w:rPr>
          <w:rFonts w:ascii="仿宋" w:hAnsi="仿宋" w:eastAsia="仿宋" w:cs="仿宋"/>
          <w:color w:val="0000FF"/>
          <w:sz w:val="28"/>
          <w:szCs w:val="28"/>
        </w:rPr>
      </w:pPr>
    </w:p>
    <w:p w14:paraId="338830BB">
      <w:pPr>
        <w:spacing w:line="360" w:lineRule="auto"/>
        <w:ind w:left="210" w:leftChars="100"/>
        <w:jc w:val="left"/>
        <w:rPr>
          <w:rFonts w:ascii="仿宋" w:hAnsi="仿宋" w:eastAsia="仿宋" w:cs="仿宋"/>
          <w:color w:val="0000FF"/>
          <w:sz w:val="28"/>
          <w:szCs w:val="28"/>
        </w:rPr>
      </w:pPr>
    </w:p>
    <w:p w14:paraId="200C3794">
      <w:pPr>
        <w:spacing w:line="360" w:lineRule="auto"/>
        <w:ind w:left="210" w:leftChars="100"/>
        <w:jc w:val="center"/>
        <w:rPr>
          <w:rStyle w:val="48"/>
          <w:rFonts w:ascii="黑体" w:hAnsi="黑体" w:eastAsia="黑体" w:cs="黑体"/>
          <w:b/>
          <w:bCs/>
          <w:szCs w:val="32"/>
          <w:u w:val="none"/>
        </w:rPr>
        <w:sectPr>
          <w:pgSz w:w="11906" w:h="16838"/>
          <w:pgMar w:top="1429" w:right="1661" w:bottom="1208" w:left="1514" w:header="1020" w:footer="907" w:gutter="0"/>
          <w:pgNumType w:start="1"/>
          <w:cols w:space="0" w:num="1"/>
          <w:docGrid w:linePitch="312" w:charSpace="0"/>
        </w:sectPr>
      </w:pPr>
      <w:bookmarkStart w:id="8" w:name="_Toc28599"/>
    </w:p>
    <w:p w14:paraId="0BE9C3A5">
      <w:pPr>
        <w:spacing w:line="360" w:lineRule="auto"/>
        <w:jc w:val="center"/>
        <w:outlineLvl w:val="0"/>
        <w:rPr>
          <w:rStyle w:val="48"/>
          <w:rFonts w:ascii="黑体" w:hAnsi="黑体" w:eastAsia="黑体" w:cs="黑体"/>
          <w:b/>
          <w:bCs/>
          <w:color w:val="auto"/>
          <w:szCs w:val="32"/>
          <w:u w:val="none"/>
        </w:rPr>
      </w:pPr>
      <w:bookmarkStart w:id="9" w:name="_Toc2290"/>
      <w:bookmarkStart w:id="10" w:name="_Toc29888"/>
      <w:r>
        <w:rPr>
          <w:rStyle w:val="48"/>
          <w:rFonts w:hint="eastAsia" w:ascii="黑体" w:hAnsi="黑体" w:eastAsia="黑体" w:cs="黑体"/>
          <w:b/>
          <w:bCs/>
          <w:color w:val="auto"/>
          <w:szCs w:val="32"/>
          <w:u w:val="none"/>
        </w:rPr>
        <w:t>前 言</w:t>
      </w:r>
      <w:bookmarkEnd w:id="4"/>
      <w:bookmarkEnd w:id="8"/>
      <w:bookmarkEnd w:id="9"/>
      <w:bookmarkEnd w:id="10"/>
    </w:p>
    <w:p w14:paraId="0232E5C0">
      <w:pPr>
        <w:pStyle w:val="78"/>
        <w:spacing w:line="360" w:lineRule="auto"/>
        <w:ind w:firstLine="602" w:firstLineChars="200"/>
        <w:rPr>
          <w:rFonts w:ascii="宋体"/>
          <w:szCs w:val="30"/>
        </w:rPr>
      </w:pPr>
      <w:bookmarkStart w:id="11" w:name="_Toc31517"/>
      <w:bookmarkStart w:id="12" w:name="_Toc2669"/>
      <w:bookmarkStart w:id="13" w:name="_Toc32102"/>
      <w:r>
        <w:rPr>
          <w:rFonts w:hint="eastAsia" w:ascii="宋体"/>
          <w:szCs w:val="30"/>
        </w:rPr>
        <w:t>（一）编制目的</w:t>
      </w:r>
      <w:bookmarkEnd w:id="11"/>
      <w:bookmarkEnd w:id="12"/>
      <w:bookmarkEnd w:id="13"/>
    </w:p>
    <w:p w14:paraId="6DBF5859">
      <w:pPr>
        <w:pStyle w:val="5"/>
        <w:spacing w:line="360" w:lineRule="auto"/>
        <w:ind w:firstLine="562" w:firstLineChars="200"/>
        <w:rPr>
          <w:rFonts w:ascii="宋体" w:hAnsi="宋体" w:cs="宋体"/>
          <w:sz w:val="28"/>
          <w:szCs w:val="28"/>
        </w:rPr>
      </w:pPr>
      <w:r>
        <w:rPr>
          <w:rFonts w:hint="eastAsia" w:ascii="宋体" w:hAnsi="宋体" w:cs="宋体"/>
          <w:sz w:val="28"/>
          <w:szCs w:val="28"/>
        </w:rPr>
        <w:t>1、开发利用方案编制情形</w:t>
      </w:r>
    </w:p>
    <w:p w14:paraId="4F8DEFE9">
      <w:pPr>
        <w:spacing w:line="360" w:lineRule="auto"/>
        <w:ind w:firstLine="560" w:firstLineChars="200"/>
        <w:jc w:val="left"/>
        <w:rPr>
          <w:rFonts w:ascii="宋体" w:hAnsi="宋体" w:cs="宋体"/>
          <w:sz w:val="28"/>
          <w:szCs w:val="28"/>
        </w:rPr>
      </w:pPr>
      <w:r>
        <w:rPr>
          <w:rFonts w:ascii="宋体" w:hAnsi="宋体" w:cs="宋体"/>
          <w:sz w:val="28"/>
          <w:szCs w:val="28"/>
        </w:rPr>
        <w:t>本次开发利用方案编制情形属于</w:t>
      </w:r>
      <w:r>
        <w:rPr>
          <w:rFonts w:hint="eastAsia" w:ascii="宋体" w:hAnsi="宋体" w:cs="宋体"/>
          <w:sz w:val="28"/>
          <w:szCs w:val="28"/>
        </w:rPr>
        <w:t>采矿权新立(集中开采区内新设采矿权）。</w:t>
      </w:r>
    </w:p>
    <w:p w14:paraId="21C8C905">
      <w:pPr>
        <w:pStyle w:val="5"/>
        <w:spacing w:line="360" w:lineRule="auto"/>
        <w:ind w:firstLine="562" w:firstLineChars="200"/>
        <w:rPr>
          <w:rFonts w:ascii="宋体" w:hAnsi="宋体" w:cs="宋体"/>
          <w:sz w:val="28"/>
          <w:szCs w:val="28"/>
        </w:rPr>
      </w:pPr>
      <w:r>
        <w:rPr>
          <w:rFonts w:hint="eastAsia" w:ascii="宋体" w:hAnsi="宋体" w:cs="宋体"/>
          <w:sz w:val="28"/>
          <w:szCs w:val="28"/>
        </w:rPr>
        <w:t>2、开发利用方案编制必要性</w:t>
      </w:r>
    </w:p>
    <w:p w14:paraId="7CCBD6BA">
      <w:pPr>
        <w:spacing w:line="360" w:lineRule="auto"/>
        <w:ind w:firstLine="560" w:firstLineChars="200"/>
        <w:jc w:val="left"/>
        <w:rPr>
          <w:rFonts w:ascii="宋体" w:hAnsi="宋体" w:cs="宋体"/>
          <w:sz w:val="28"/>
          <w:szCs w:val="28"/>
        </w:rPr>
      </w:pPr>
      <w:r>
        <w:rPr>
          <w:rFonts w:hint="eastAsia" w:ascii="宋体" w:hAnsi="宋体" w:cs="宋体"/>
          <w:sz w:val="28"/>
          <w:szCs w:val="28"/>
        </w:rPr>
        <w:t>为了合理开发利用建筑用砂石资源，铁岭县自然资源局依据《铁岭县矿产资源总体规划(2021—2025年)》，在已注销“铁岭县新世捷矿业有限公司”矿区范围基础上设立了“铁岭县李千户镇金家沟村建筑用白云岩集中开采区”，拟在集中开采区勘查完成后新设并出让采矿权。</w:t>
      </w:r>
    </w:p>
    <w:p w14:paraId="73EA5AB7">
      <w:pPr>
        <w:spacing w:line="360" w:lineRule="auto"/>
        <w:ind w:firstLine="560" w:firstLineChars="200"/>
        <w:jc w:val="left"/>
        <w:rPr>
          <w:rFonts w:ascii="宋体" w:hAnsi="宋体" w:cs="宋体"/>
          <w:sz w:val="28"/>
          <w:szCs w:val="28"/>
        </w:rPr>
      </w:pPr>
      <w:r>
        <w:rPr>
          <w:rFonts w:hint="eastAsia" w:ascii="宋体" w:hAnsi="宋体" w:cs="宋体"/>
          <w:sz w:val="28"/>
          <w:szCs w:val="28"/>
        </w:rPr>
        <w:t>为办理采矿权新立提供依据，铁岭县自然资源局在完成了区内地质详查工作和评审备案的情况下，委托我公司编制《辽宁省铁岭县金家沟村建筑用白云岩、石英砂岩矿产资源开发利用方案》。</w:t>
      </w:r>
    </w:p>
    <w:p w14:paraId="708E2EC0">
      <w:pPr>
        <w:pStyle w:val="78"/>
        <w:spacing w:line="360" w:lineRule="auto"/>
        <w:ind w:firstLine="602" w:firstLineChars="200"/>
        <w:rPr>
          <w:rFonts w:ascii="宋体"/>
          <w:szCs w:val="30"/>
        </w:rPr>
      </w:pPr>
      <w:bookmarkStart w:id="14" w:name="_Toc3434"/>
      <w:bookmarkStart w:id="15" w:name="_Toc18115"/>
      <w:bookmarkStart w:id="16" w:name="_Toc17543"/>
      <w:bookmarkStart w:id="17" w:name="_Toc27021"/>
      <w:r>
        <w:rPr>
          <w:rFonts w:hint="eastAsia" w:ascii="宋体"/>
          <w:szCs w:val="30"/>
        </w:rPr>
        <w:t>（二）编制依据</w:t>
      </w:r>
      <w:bookmarkEnd w:id="14"/>
      <w:bookmarkEnd w:id="15"/>
      <w:bookmarkEnd w:id="16"/>
      <w:bookmarkEnd w:id="17"/>
    </w:p>
    <w:p w14:paraId="5063A18A">
      <w:pPr>
        <w:pStyle w:val="5"/>
        <w:spacing w:line="360" w:lineRule="auto"/>
        <w:ind w:firstLine="562" w:firstLineChars="200"/>
        <w:rPr>
          <w:rFonts w:ascii="宋体" w:hAnsi="宋体" w:cs="宋体"/>
          <w:sz w:val="28"/>
          <w:szCs w:val="28"/>
        </w:rPr>
      </w:pPr>
      <w:r>
        <w:rPr>
          <w:rFonts w:hint="eastAsia" w:ascii="宋体" w:hAnsi="宋体" w:cs="宋体"/>
          <w:sz w:val="28"/>
          <w:szCs w:val="28"/>
        </w:rPr>
        <w:t>1、项目前期工作进展情况</w:t>
      </w:r>
    </w:p>
    <w:p w14:paraId="67846E70">
      <w:pPr>
        <w:spacing w:line="360" w:lineRule="auto"/>
        <w:ind w:firstLine="560" w:firstLineChars="200"/>
        <w:jc w:val="left"/>
        <w:rPr>
          <w:rFonts w:ascii="宋体" w:hAnsi="宋体" w:cs="宋体"/>
          <w:spacing w:val="-2"/>
          <w:sz w:val="28"/>
          <w:szCs w:val="28"/>
        </w:rPr>
      </w:pPr>
      <w:bookmarkStart w:id="18" w:name="_Toc26301"/>
      <w:bookmarkStart w:id="19" w:name="_Toc80109262"/>
      <w:bookmarkStart w:id="20" w:name="_Toc7976"/>
      <w:bookmarkStart w:id="21" w:name="_Toc167307768"/>
      <w:r>
        <w:rPr>
          <w:rFonts w:ascii="宋体" w:hAnsi="宋体" w:cs="宋体"/>
          <w:sz w:val="28"/>
          <w:szCs w:val="28"/>
        </w:rPr>
        <w:t>202</w:t>
      </w:r>
      <w:r>
        <w:rPr>
          <w:rFonts w:hint="eastAsia" w:ascii="宋体" w:hAnsi="宋体" w:cs="宋体"/>
          <w:sz w:val="28"/>
          <w:szCs w:val="28"/>
        </w:rPr>
        <w:t>5</w:t>
      </w:r>
      <w:r>
        <w:rPr>
          <w:rFonts w:ascii="宋体" w:hAnsi="宋体" w:cs="宋体"/>
          <w:sz w:val="28"/>
          <w:szCs w:val="28"/>
        </w:rPr>
        <w:t>年</w:t>
      </w:r>
      <w:r>
        <w:rPr>
          <w:rFonts w:hint="eastAsia" w:ascii="宋体" w:hAnsi="宋体" w:cs="宋体"/>
          <w:sz w:val="28"/>
          <w:szCs w:val="28"/>
        </w:rPr>
        <w:t>3</w:t>
      </w:r>
      <w:r>
        <w:rPr>
          <w:rFonts w:ascii="宋体" w:hAnsi="宋体" w:cs="宋体"/>
          <w:sz w:val="28"/>
          <w:szCs w:val="28"/>
        </w:rPr>
        <w:t>月，辽宁省第九地质大队有限责任公司</w:t>
      </w:r>
      <w:r>
        <w:rPr>
          <w:rFonts w:hint="eastAsia" w:ascii="宋体" w:hAnsi="宋体" w:cs="宋体"/>
          <w:sz w:val="28"/>
          <w:szCs w:val="28"/>
        </w:rPr>
        <w:t>完成</w:t>
      </w:r>
      <w:r>
        <w:rPr>
          <w:rFonts w:ascii="宋体" w:hAnsi="宋体" w:cs="宋体"/>
          <w:spacing w:val="1"/>
          <w:sz w:val="28"/>
          <w:szCs w:val="28"/>
        </w:rPr>
        <w:t>提交了《</w:t>
      </w:r>
      <w:r>
        <w:rPr>
          <w:rFonts w:hint="eastAsia" w:ascii="宋体" w:hAnsi="宋体" w:cs="宋体"/>
          <w:spacing w:val="1"/>
          <w:sz w:val="28"/>
          <w:szCs w:val="28"/>
        </w:rPr>
        <w:t>辽宁省铁岭县李千户镇金家沟村建筑用白云岩矿详查</w:t>
      </w:r>
      <w:r>
        <w:rPr>
          <w:rFonts w:ascii="宋体" w:hAnsi="宋体" w:cs="宋体"/>
          <w:spacing w:val="1"/>
          <w:sz w:val="28"/>
          <w:szCs w:val="28"/>
        </w:rPr>
        <w:t>报告》</w:t>
      </w:r>
      <w:r>
        <w:rPr>
          <w:rFonts w:hint="eastAsia" w:ascii="宋体" w:hAnsi="宋体" w:cs="宋体"/>
          <w:sz w:val="28"/>
          <w:szCs w:val="28"/>
        </w:rPr>
        <w:t>，报告通过评审并取得铁岭县自然资源局备案，</w:t>
      </w:r>
      <w:r>
        <w:rPr>
          <w:rFonts w:hint="eastAsia" w:ascii="宋体" w:hAnsi="宋体" w:cs="宋体"/>
          <w:spacing w:val="-1"/>
          <w:sz w:val="28"/>
          <w:szCs w:val="28"/>
        </w:rPr>
        <w:t>备案</w:t>
      </w:r>
      <w:r>
        <w:rPr>
          <w:rFonts w:ascii="宋体" w:hAnsi="宋体" w:cs="宋体"/>
          <w:spacing w:val="-1"/>
          <w:sz w:val="28"/>
          <w:szCs w:val="28"/>
        </w:rPr>
        <w:t>编号：铁县自然资储字</w:t>
      </w:r>
      <w:r>
        <w:rPr>
          <w:rFonts w:ascii="宋体" w:hAnsi="宋体" w:cs="宋体"/>
          <w:spacing w:val="-2"/>
          <w:sz w:val="28"/>
          <w:szCs w:val="28"/>
        </w:rPr>
        <w:t>〔202</w:t>
      </w:r>
      <w:r>
        <w:rPr>
          <w:rFonts w:hint="eastAsia" w:ascii="宋体" w:hAnsi="宋体" w:cs="宋体"/>
          <w:spacing w:val="-2"/>
          <w:sz w:val="28"/>
          <w:szCs w:val="28"/>
        </w:rPr>
        <w:t>5</w:t>
      </w:r>
      <w:r>
        <w:rPr>
          <w:rFonts w:ascii="宋体" w:hAnsi="宋体" w:cs="宋体"/>
          <w:spacing w:val="-2"/>
          <w:sz w:val="28"/>
          <w:szCs w:val="28"/>
        </w:rPr>
        <w:t>〕0</w:t>
      </w:r>
      <w:r>
        <w:rPr>
          <w:rFonts w:hint="eastAsia" w:ascii="宋体" w:hAnsi="宋体" w:cs="宋体"/>
          <w:spacing w:val="-2"/>
          <w:sz w:val="28"/>
          <w:szCs w:val="28"/>
        </w:rPr>
        <w:t>1</w:t>
      </w:r>
      <w:r>
        <w:rPr>
          <w:rFonts w:ascii="宋体" w:hAnsi="宋体" w:cs="宋体"/>
          <w:spacing w:val="-2"/>
          <w:sz w:val="28"/>
          <w:szCs w:val="28"/>
        </w:rPr>
        <w:t>号。</w:t>
      </w:r>
      <w:r>
        <w:rPr>
          <w:rFonts w:hint="eastAsia" w:ascii="宋体" w:hAnsi="宋体" w:cs="宋体"/>
          <w:spacing w:val="-2"/>
          <w:sz w:val="28"/>
          <w:szCs w:val="28"/>
        </w:rPr>
        <w:t>截止到2025年2月28日，求得勘查区内（+170m以上）建筑用石料总计推断+控制（TD+KZ）资源量总计****万立方米，其中控制（KZ）资源量为****万立方米，推断（TD）资源量为****万立方米。</w:t>
      </w:r>
    </w:p>
    <w:p w14:paraId="6FDE0925">
      <w:pPr>
        <w:pStyle w:val="5"/>
        <w:spacing w:line="360" w:lineRule="auto"/>
        <w:ind w:firstLine="562" w:firstLineChars="200"/>
        <w:rPr>
          <w:rFonts w:ascii="宋体" w:hAnsi="宋体" w:cs="宋体"/>
          <w:sz w:val="28"/>
          <w:szCs w:val="28"/>
        </w:rPr>
      </w:pPr>
      <w:r>
        <w:rPr>
          <w:rFonts w:hint="eastAsia" w:ascii="宋体" w:hAnsi="宋体" w:cs="宋体"/>
          <w:sz w:val="28"/>
          <w:szCs w:val="28"/>
        </w:rPr>
        <w:t>2、法律法规及相关</w:t>
      </w:r>
      <w:bookmarkEnd w:id="18"/>
      <w:bookmarkEnd w:id="19"/>
      <w:bookmarkEnd w:id="20"/>
      <w:r>
        <w:rPr>
          <w:rFonts w:hint="eastAsia" w:ascii="宋体" w:hAnsi="宋体" w:cs="宋体"/>
          <w:sz w:val="28"/>
          <w:szCs w:val="28"/>
        </w:rPr>
        <w:t>文件</w:t>
      </w:r>
      <w:bookmarkEnd w:id="21"/>
    </w:p>
    <w:p w14:paraId="42B42305">
      <w:pPr>
        <w:spacing w:line="360" w:lineRule="auto"/>
        <w:ind w:firstLine="560" w:firstLineChars="200"/>
        <w:jc w:val="left"/>
        <w:rPr>
          <w:rFonts w:ascii="宋体" w:hAnsi="宋体" w:cs="宋体"/>
          <w:sz w:val="28"/>
          <w:szCs w:val="28"/>
        </w:rPr>
      </w:pPr>
      <w:r>
        <w:rPr>
          <w:rFonts w:hint="eastAsia" w:ascii="宋体" w:hAnsi="宋体" w:cs="宋体"/>
          <w:sz w:val="28"/>
          <w:szCs w:val="28"/>
        </w:rPr>
        <w:t>（1）《中华人民共和国矿产资源法》（2009年8月27日第二次修正，自2009年8月27日起施行；</w:t>
      </w:r>
    </w:p>
    <w:p w14:paraId="29E72C5E">
      <w:pPr>
        <w:spacing w:line="360" w:lineRule="auto"/>
        <w:ind w:firstLine="560" w:firstLineChars="200"/>
        <w:jc w:val="left"/>
        <w:rPr>
          <w:rFonts w:ascii="宋体" w:hAnsi="宋体" w:cs="宋体"/>
          <w:sz w:val="28"/>
          <w:szCs w:val="28"/>
        </w:rPr>
      </w:pPr>
      <w:r>
        <w:rPr>
          <w:rFonts w:hint="eastAsia" w:ascii="宋体" w:hAnsi="宋体" w:cs="宋体"/>
          <w:sz w:val="28"/>
          <w:szCs w:val="28"/>
        </w:rPr>
        <w:t>（2）《矿产资源开采登记管理办法》（2014年7月29日《国务院关于修改部分行政法规的决定》修订）；</w:t>
      </w:r>
    </w:p>
    <w:p w14:paraId="6912C4A0">
      <w:pPr>
        <w:spacing w:line="360" w:lineRule="auto"/>
        <w:ind w:firstLine="560" w:firstLineChars="200"/>
        <w:jc w:val="left"/>
        <w:rPr>
          <w:rFonts w:ascii="宋体" w:hAnsi="宋体" w:cs="宋体"/>
          <w:sz w:val="28"/>
          <w:szCs w:val="28"/>
        </w:rPr>
      </w:pPr>
      <w:r>
        <w:rPr>
          <w:rFonts w:hint="eastAsia" w:ascii="宋体" w:hAnsi="宋体" w:cs="宋体"/>
          <w:sz w:val="28"/>
          <w:szCs w:val="28"/>
        </w:rPr>
        <w:t>（3）《中共中央办公厅 国务院办公厅关于进一步加强矿山安全生产工作的意见》；</w:t>
      </w:r>
    </w:p>
    <w:p w14:paraId="309C8020">
      <w:pPr>
        <w:spacing w:line="360" w:lineRule="auto"/>
        <w:ind w:firstLine="560" w:firstLineChars="200"/>
        <w:jc w:val="left"/>
        <w:rPr>
          <w:rFonts w:ascii="宋体" w:hAnsi="宋体" w:cs="宋体"/>
          <w:sz w:val="28"/>
          <w:szCs w:val="28"/>
        </w:rPr>
      </w:pPr>
      <w:r>
        <w:rPr>
          <w:rFonts w:hint="eastAsia" w:ascii="宋体" w:hAnsi="宋体" w:cs="宋体"/>
          <w:sz w:val="28"/>
          <w:szCs w:val="28"/>
        </w:rPr>
        <w:t>（4）《自然资源部关于进一步完善矿产资源勘查开采登记管理的通知》（自然资规〔2023〕4号）；</w:t>
      </w:r>
    </w:p>
    <w:p w14:paraId="34163C8F">
      <w:pPr>
        <w:spacing w:line="360" w:lineRule="auto"/>
        <w:ind w:firstLine="560" w:firstLineChars="200"/>
        <w:jc w:val="left"/>
        <w:rPr>
          <w:rFonts w:ascii="宋体" w:hAnsi="宋体" w:cs="宋体"/>
          <w:sz w:val="28"/>
          <w:szCs w:val="28"/>
        </w:rPr>
      </w:pPr>
      <w:r>
        <w:rPr>
          <w:rFonts w:hint="eastAsia" w:ascii="宋体" w:hAnsi="宋体" w:cs="宋体"/>
          <w:sz w:val="28"/>
          <w:szCs w:val="28"/>
        </w:rPr>
        <w:t>（5）《自然资源部关于深化矿产资源管理改革若干事项的意见》（自然资规〔2023〕6号）；</w:t>
      </w:r>
    </w:p>
    <w:p w14:paraId="47F4B3B3">
      <w:pPr>
        <w:spacing w:line="360" w:lineRule="auto"/>
        <w:ind w:firstLine="560" w:firstLineChars="200"/>
        <w:jc w:val="left"/>
        <w:rPr>
          <w:rFonts w:ascii="宋体" w:hAnsi="宋体" w:cs="宋体"/>
          <w:sz w:val="28"/>
          <w:szCs w:val="28"/>
        </w:rPr>
      </w:pPr>
      <w:r>
        <w:rPr>
          <w:rFonts w:hint="eastAsia" w:ascii="宋体" w:hAnsi="宋体" w:cs="宋体"/>
          <w:sz w:val="28"/>
          <w:szCs w:val="28"/>
        </w:rPr>
        <w:t>（6）《自然资源部 生态环境部 财政部 国家市场监督管理总局 国家金融监督管理总局 中国证券监督管理委员会 国家林业和草原局关于进一步加强绿色矿山建设的通知》（自然资规〔2024〕1号）</w:t>
      </w:r>
    </w:p>
    <w:p w14:paraId="5E45F8BF">
      <w:pPr>
        <w:spacing w:line="360" w:lineRule="auto"/>
        <w:ind w:firstLine="560" w:firstLineChars="200"/>
        <w:jc w:val="left"/>
        <w:rPr>
          <w:rFonts w:ascii="宋体" w:hAnsi="宋体" w:cs="宋体"/>
          <w:sz w:val="28"/>
          <w:szCs w:val="28"/>
        </w:rPr>
      </w:pPr>
      <w:r>
        <w:rPr>
          <w:rFonts w:hint="eastAsia" w:ascii="宋体" w:hAnsi="宋体" w:cs="宋体"/>
          <w:sz w:val="28"/>
          <w:szCs w:val="28"/>
        </w:rPr>
        <w:t>（7）《关于调整部分矿种矿山生产建设规模标准的通知》（国土资发〔2004〕208号）</w:t>
      </w:r>
    </w:p>
    <w:p w14:paraId="321ADBF5">
      <w:pPr>
        <w:spacing w:line="360" w:lineRule="auto"/>
        <w:ind w:firstLine="560" w:firstLineChars="200"/>
        <w:jc w:val="left"/>
        <w:rPr>
          <w:rFonts w:ascii="宋体" w:hAnsi="宋体" w:cs="宋体"/>
          <w:sz w:val="28"/>
          <w:szCs w:val="28"/>
        </w:rPr>
      </w:pPr>
      <w:r>
        <w:rPr>
          <w:rFonts w:hint="eastAsia" w:ascii="宋体" w:hAnsi="宋体" w:cs="宋体"/>
          <w:sz w:val="28"/>
          <w:szCs w:val="28"/>
        </w:rPr>
        <w:t>（8）《关于加强矿产资源管理若干事项的通知》（辽自然资规[2023]1号）；</w:t>
      </w:r>
    </w:p>
    <w:p w14:paraId="632EED83">
      <w:pPr>
        <w:spacing w:line="360" w:lineRule="auto"/>
        <w:ind w:firstLine="560" w:firstLineChars="200"/>
        <w:jc w:val="left"/>
        <w:rPr>
          <w:rFonts w:ascii="宋体" w:hAnsi="宋体" w:cs="宋体"/>
          <w:sz w:val="28"/>
          <w:szCs w:val="28"/>
        </w:rPr>
      </w:pPr>
      <w:r>
        <w:rPr>
          <w:rFonts w:hint="eastAsia" w:ascii="宋体" w:hAnsi="宋体" w:cs="宋体"/>
          <w:sz w:val="28"/>
          <w:szCs w:val="28"/>
        </w:rPr>
        <w:t>（9）《关于加强非煤矿山安全生产工作的指导意见》的通知（矿安〔2022〕4号），国家矿山安全监察局；</w:t>
      </w:r>
    </w:p>
    <w:p w14:paraId="2946AE10">
      <w:pPr>
        <w:spacing w:line="360" w:lineRule="auto"/>
        <w:ind w:firstLine="560" w:firstLineChars="200"/>
        <w:jc w:val="left"/>
        <w:rPr>
          <w:rFonts w:ascii="宋体" w:hAnsi="宋体" w:cs="宋体"/>
          <w:sz w:val="28"/>
          <w:szCs w:val="28"/>
        </w:rPr>
      </w:pPr>
      <w:r>
        <w:rPr>
          <w:rFonts w:hint="eastAsia" w:ascii="宋体" w:hAnsi="宋体" w:cs="宋体"/>
          <w:sz w:val="28"/>
          <w:szCs w:val="28"/>
        </w:rPr>
        <w:t>（10）关于印发《辽宁省绿色矿山建设实施方案》的通知（辽宁省自然资源厅 辽宁省财政厅环境厅 辽宁省生态环境厅 中国银行保险监督管理委员会辽宁监管局 中国证券监督管理委员会辽宁监管局），2020年1月14日；</w:t>
      </w:r>
    </w:p>
    <w:p w14:paraId="2A3F2424">
      <w:pPr>
        <w:spacing w:line="360" w:lineRule="auto"/>
        <w:ind w:firstLine="560" w:firstLineChars="200"/>
        <w:jc w:val="left"/>
        <w:rPr>
          <w:rFonts w:ascii="宋体" w:hAnsi="宋体" w:cs="宋体"/>
          <w:sz w:val="28"/>
          <w:szCs w:val="28"/>
        </w:rPr>
      </w:pPr>
      <w:r>
        <w:rPr>
          <w:rFonts w:hint="eastAsia" w:ascii="宋体" w:hAnsi="宋体" w:cs="宋体"/>
          <w:sz w:val="28"/>
          <w:szCs w:val="28"/>
        </w:rPr>
        <w:t>（11）《关于公布新一轮矿产资源总体规划确定重点矿种最低开采规模 的公告》（辽宁省自然资源厅，2022年11月7日）；</w:t>
      </w:r>
    </w:p>
    <w:p w14:paraId="7EFB665A">
      <w:pPr>
        <w:spacing w:line="360" w:lineRule="auto"/>
        <w:ind w:firstLine="560" w:firstLineChars="200"/>
        <w:jc w:val="left"/>
        <w:rPr>
          <w:rFonts w:ascii="宋体" w:hAnsi="宋体" w:cs="宋体"/>
          <w:sz w:val="28"/>
          <w:szCs w:val="28"/>
        </w:rPr>
      </w:pPr>
      <w:r>
        <w:rPr>
          <w:rFonts w:hint="eastAsia" w:ascii="宋体" w:hAnsi="宋体" w:cs="宋体"/>
          <w:sz w:val="28"/>
          <w:szCs w:val="28"/>
        </w:rPr>
        <w:t>（12）《铁岭县矿产资源总体规划（2021-2025 年）》（铁岭县人民政府，2023年5月）;</w:t>
      </w:r>
    </w:p>
    <w:p w14:paraId="0E84E7A6">
      <w:pPr>
        <w:spacing w:line="360" w:lineRule="auto"/>
        <w:ind w:firstLine="560" w:firstLineChars="200"/>
        <w:jc w:val="left"/>
        <w:rPr>
          <w:rFonts w:ascii="宋体" w:hAnsi="宋体" w:cs="宋体"/>
          <w:sz w:val="28"/>
          <w:szCs w:val="28"/>
        </w:rPr>
      </w:pPr>
      <w:r>
        <w:rPr>
          <w:rFonts w:hint="eastAsia" w:ascii="宋体" w:hAnsi="宋体" w:cs="宋体"/>
          <w:sz w:val="28"/>
          <w:szCs w:val="28"/>
        </w:rPr>
        <w:t>（13）《矿产资源开发利用方案编制指南》(自然资办发［2024］33号，自然资源部办公厅2024年7月3日）。</w:t>
      </w:r>
    </w:p>
    <w:p w14:paraId="409AE0C2">
      <w:pPr>
        <w:spacing w:line="360" w:lineRule="auto"/>
        <w:ind w:firstLine="560" w:firstLineChars="200"/>
        <w:jc w:val="left"/>
        <w:rPr>
          <w:rFonts w:ascii="宋体" w:hAnsi="宋体" w:cs="宋体"/>
          <w:sz w:val="28"/>
          <w:szCs w:val="28"/>
        </w:rPr>
      </w:pPr>
    </w:p>
    <w:p w14:paraId="519DBBAD">
      <w:pPr>
        <w:pStyle w:val="5"/>
        <w:spacing w:line="360" w:lineRule="auto"/>
        <w:ind w:firstLine="562" w:firstLineChars="200"/>
        <w:rPr>
          <w:rFonts w:ascii="宋体" w:hAnsi="宋体" w:cs="宋体"/>
          <w:sz w:val="28"/>
          <w:szCs w:val="28"/>
        </w:rPr>
      </w:pPr>
      <w:bookmarkStart w:id="22" w:name="_Toc167307769"/>
      <w:r>
        <w:rPr>
          <w:rFonts w:hint="eastAsia" w:ascii="宋体" w:hAnsi="宋体" w:cs="宋体"/>
          <w:sz w:val="28"/>
          <w:szCs w:val="28"/>
        </w:rPr>
        <w:t>3、设计规范及标准</w:t>
      </w:r>
      <w:bookmarkEnd w:id="22"/>
    </w:p>
    <w:p w14:paraId="1B6088EA">
      <w:pPr>
        <w:spacing w:line="360" w:lineRule="auto"/>
        <w:ind w:firstLine="560" w:firstLineChars="200"/>
        <w:jc w:val="left"/>
        <w:rPr>
          <w:rFonts w:ascii="宋体" w:hAnsi="宋体" w:cs="宋体"/>
          <w:sz w:val="28"/>
          <w:szCs w:val="28"/>
        </w:rPr>
      </w:pPr>
      <w:r>
        <w:rPr>
          <w:rFonts w:hint="eastAsia" w:ascii="宋体" w:hAnsi="宋体" w:cs="宋体"/>
          <w:sz w:val="28"/>
          <w:szCs w:val="28"/>
        </w:rPr>
        <w:t>（1）《采矿设计手册 矿产地质卷（上、下册）》（1989年10月）；</w:t>
      </w:r>
    </w:p>
    <w:p w14:paraId="3CB5FCCD">
      <w:pPr>
        <w:spacing w:line="360" w:lineRule="auto"/>
        <w:ind w:firstLine="560" w:firstLineChars="200"/>
        <w:jc w:val="left"/>
        <w:rPr>
          <w:rFonts w:ascii="宋体" w:hAnsi="宋体" w:cs="宋体"/>
          <w:sz w:val="28"/>
          <w:szCs w:val="28"/>
        </w:rPr>
      </w:pPr>
      <w:r>
        <w:rPr>
          <w:rFonts w:hint="eastAsia" w:ascii="宋体" w:hAnsi="宋体" w:cs="宋体"/>
          <w:sz w:val="28"/>
          <w:szCs w:val="28"/>
        </w:rPr>
        <w:t>（2）《爆破安全规程》（GB6722－2014）；</w:t>
      </w:r>
    </w:p>
    <w:p w14:paraId="6479FA52">
      <w:pPr>
        <w:spacing w:line="360" w:lineRule="auto"/>
        <w:ind w:firstLine="560" w:firstLineChars="200"/>
        <w:jc w:val="left"/>
        <w:rPr>
          <w:rFonts w:ascii="宋体" w:hAnsi="宋体" w:cs="宋体"/>
          <w:sz w:val="28"/>
          <w:szCs w:val="28"/>
        </w:rPr>
      </w:pPr>
      <w:r>
        <w:rPr>
          <w:rFonts w:hint="eastAsia" w:ascii="宋体" w:hAnsi="宋体" w:cs="宋体"/>
          <w:sz w:val="28"/>
          <w:szCs w:val="28"/>
        </w:rPr>
        <w:t>（3）《金属非金属矿山安全规程》（GB16423-2020）；</w:t>
      </w:r>
    </w:p>
    <w:p w14:paraId="0C91C804">
      <w:pPr>
        <w:spacing w:line="360" w:lineRule="auto"/>
        <w:ind w:firstLine="560" w:firstLineChars="200"/>
        <w:jc w:val="left"/>
        <w:rPr>
          <w:rFonts w:ascii="宋体" w:hAnsi="宋体" w:cs="宋体"/>
          <w:sz w:val="28"/>
          <w:szCs w:val="28"/>
        </w:rPr>
      </w:pPr>
      <w:r>
        <w:rPr>
          <w:rFonts w:hint="eastAsia" w:ascii="宋体" w:hAnsi="宋体" w:cs="宋体"/>
          <w:sz w:val="28"/>
          <w:szCs w:val="28"/>
        </w:rPr>
        <w:t>（4）《非煤矿山采矿术语标准》（GB/T 51339-2018）；</w:t>
      </w:r>
    </w:p>
    <w:p w14:paraId="772857DD">
      <w:pPr>
        <w:spacing w:line="360" w:lineRule="auto"/>
        <w:ind w:firstLine="560" w:firstLineChars="200"/>
        <w:jc w:val="left"/>
        <w:rPr>
          <w:rFonts w:ascii="宋体" w:hAnsi="宋体" w:cs="宋体"/>
          <w:sz w:val="28"/>
          <w:szCs w:val="28"/>
        </w:rPr>
      </w:pPr>
      <w:r>
        <w:rPr>
          <w:rFonts w:hint="eastAsia" w:ascii="宋体" w:hAnsi="宋体" w:cs="宋体"/>
          <w:sz w:val="28"/>
          <w:szCs w:val="28"/>
        </w:rPr>
        <w:t>（5）《固体矿产资源储量分类》（GB/T 17766-2020）；</w:t>
      </w:r>
    </w:p>
    <w:p w14:paraId="1829889E">
      <w:pPr>
        <w:spacing w:line="360" w:lineRule="auto"/>
        <w:ind w:firstLine="560" w:firstLineChars="200"/>
        <w:jc w:val="left"/>
        <w:rPr>
          <w:rFonts w:ascii="宋体" w:hAnsi="宋体" w:cs="宋体"/>
          <w:sz w:val="28"/>
          <w:szCs w:val="28"/>
        </w:rPr>
      </w:pPr>
      <w:r>
        <w:rPr>
          <w:rFonts w:hint="eastAsia" w:ascii="宋体" w:hAnsi="宋体" w:cs="宋体"/>
          <w:sz w:val="28"/>
          <w:szCs w:val="28"/>
        </w:rPr>
        <w:t>（6）《矿产资源综合利用技术指标及其计算方法》（GB/T 42249-2022）；</w:t>
      </w:r>
    </w:p>
    <w:p w14:paraId="36460660">
      <w:pPr>
        <w:spacing w:line="360" w:lineRule="auto"/>
        <w:ind w:firstLine="560" w:firstLineChars="200"/>
        <w:jc w:val="left"/>
        <w:rPr>
          <w:rFonts w:ascii="宋体" w:hAnsi="宋体" w:cs="宋体"/>
          <w:sz w:val="28"/>
          <w:szCs w:val="28"/>
        </w:rPr>
      </w:pPr>
      <w:r>
        <w:rPr>
          <w:rFonts w:hint="eastAsia" w:ascii="宋体" w:hAnsi="宋体" w:cs="宋体"/>
          <w:sz w:val="28"/>
          <w:szCs w:val="28"/>
        </w:rPr>
        <w:t>（7）《矿产资源储量规模划分标准》（DZ/T 0400-2022）；</w:t>
      </w:r>
    </w:p>
    <w:p w14:paraId="454CCD0F">
      <w:pPr>
        <w:spacing w:line="360" w:lineRule="auto"/>
        <w:ind w:firstLine="560" w:firstLineChars="200"/>
        <w:jc w:val="left"/>
        <w:rPr>
          <w:rFonts w:ascii="宋体" w:hAnsi="宋体" w:cs="宋体"/>
          <w:sz w:val="28"/>
          <w:szCs w:val="28"/>
        </w:rPr>
      </w:pPr>
      <w:r>
        <w:rPr>
          <w:rFonts w:hint="eastAsia" w:ascii="宋体" w:hAnsi="宋体" w:cs="宋体"/>
          <w:sz w:val="28"/>
          <w:szCs w:val="28"/>
        </w:rPr>
        <w:t>（8）《矿产资源“三率 ”指标要求第6部分：石墨等26种非金属矿产》(DZ/T 0462.6-2023)。</w:t>
      </w:r>
    </w:p>
    <w:p w14:paraId="5A4F66F3">
      <w:pPr>
        <w:spacing w:line="360" w:lineRule="auto"/>
        <w:ind w:firstLine="560" w:firstLineChars="200"/>
        <w:jc w:val="left"/>
        <w:rPr>
          <w:rFonts w:ascii="宋体" w:hAnsi="宋体" w:cs="宋体"/>
          <w:sz w:val="28"/>
          <w:szCs w:val="28"/>
        </w:rPr>
      </w:pPr>
      <w:r>
        <w:rPr>
          <w:rFonts w:hint="eastAsia" w:ascii="宋体" w:hAnsi="宋体" w:cs="宋体"/>
          <w:sz w:val="28"/>
          <w:szCs w:val="28"/>
        </w:rPr>
        <w:t>（9）《有色金属采矿设计规范》（GB50771-2012）</w:t>
      </w:r>
    </w:p>
    <w:p w14:paraId="266BEBF9">
      <w:pPr>
        <w:pStyle w:val="5"/>
        <w:spacing w:line="360" w:lineRule="auto"/>
        <w:ind w:firstLine="562" w:firstLineChars="200"/>
        <w:rPr>
          <w:rFonts w:ascii="宋体" w:hAnsi="宋体" w:cs="宋体"/>
          <w:sz w:val="28"/>
          <w:szCs w:val="28"/>
        </w:rPr>
      </w:pPr>
      <w:r>
        <w:rPr>
          <w:rFonts w:hint="eastAsia" w:ascii="宋体" w:hAnsi="宋体" w:cs="宋体"/>
          <w:sz w:val="28"/>
          <w:szCs w:val="28"/>
        </w:rPr>
        <w:t>4、技术报告依据</w:t>
      </w:r>
    </w:p>
    <w:p w14:paraId="6C8050BC">
      <w:pPr>
        <w:spacing w:line="360" w:lineRule="auto"/>
        <w:ind w:firstLine="560" w:firstLineChars="200"/>
        <w:jc w:val="left"/>
        <w:rPr>
          <w:rFonts w:ascii="宋体" w:hAnsi="宋体" w:cs="宋体"/>
          <w:sz w:val="28"/>
          <w:szCs w:val="28"/>
        </w:rPr>
      </w:pPr>
      <w:r>
        <w:rPr>
          <w:rFonts w:hint="eastAsia" w:ascii="宋体" w:hAnsi="宋体" w:cs="宋体"/>
          <w:sz w:val="28"/>
          <w:szCs w:val="28"/>
        </w:rPr>
        <w:t>（1）《</w:t>
      </w:r>
      <w:r>
        <w:rPr>
          <w:rFonts w:hint="eastAsia" w:ascii="宋体" w:hAnsi="宋体" w:cs="宋体"/>
          <w:spacing w:val="1"/>
          <w:sz w:val="28"/>
          <w:szCs w:val="28"/>
        </w:rPr>
        <w:t>辽宁省铁岭县李千户镇金家沟村建筑用白云岩矿详查</w:t>
      </w:r>
      <w:r>
        <w:rPr>
          <w:rFonts w:ascii="宋体" w:hAnsi="宋体" w:cs="宋体"/>
          <w:spacing w:val="1"/>
          <w:sz w:val="28"/>
          <w:szCs w:val="28"/>
        </w:rPr>
        <w:t>报告</w:t>
      </w:r>
      <w:r>
        <w:rPr>
          <w:rFonts w:hint="eastAsia" w:ascii="宋体" w:hAnsi="宋体" w:cs="宋体"/>
          <w:sz w:val="28"/>
          <w:szCs w:val="28"/>
        </w:rPr>
        <w:t>》辽宁省第九</w:t>
      </w:r>
      <w:r>
        <w:rPr>
          <w:rFonts w:hint="eastAsia" w:ascii="宋体" w:hAnsi="宋体" w:cs="宋体"/>
          <w:spacing w:val="2"/>
          <w:sz w:val="28"/>
          <w:szCs w:val="28"/>
        </w:rPr>
        <w:t>地质</w:t>
      </w:r>
      <w:r>
        <w:rPr>
          <w:rFonts w:hint="eastAsia" w:ascii="宋体" w:hAnsi="宋体" w:cs="宋体"/>
          <w:sz w:val="28"/>
          <w:szCs w:val="28"/>
        </w:rPr>
        <w:t>大队有限责任公司，2025年3月；</w:t>
      </w:r>
    </w:p>
    <w:p w14:paraId="4EFE8E0E">
      <w:pPr>
        <w:spacing w:line="360" w:lineRule="auto"/>
        <w:ind w:firstLine="560" w:firstLineChars="200"/>
        <w:rPr>
          <w:rFonts w:ascii="宋体" w:hAnsi="宋体" w:cs="宋体"/>
          <w:sz w:val="28"/>
          <w:szCs w:val="28"/>
        </w:rPr>
      </w:pPr>
      <w:r>
        <w:rPr>
          <w:rFonts w:hint="eastAsia" w:ascii="宋体" w:hAnsi="宋体" w:cs="宋体"/>
          <w:sz w:val="28"/>
          <w:szCs w:val="28"/>
        </w:rPr>
        <w:t>（2）《辽宁省铁岭县李千户镇金家沟村建筑用白云岩详查报告评审意见书》（铁自事评（储）字[2025]009号），铁岭市自然资源事务服务中心，2025年4月8日</w:t>
      </w:r>
    </w:p>
    <w:p w14:paraId="65E05972">
      <w:pPr>
        <w:spacing w:line="360" w:lineRule="auto"/>
        <w:ind w:firstLine="560" w:firstLineChars="200"/>
        <w:jc w:val="left"/>
        <w:rPr>
          <w:rFonts w:ascii="宋体" w:hAnsi="宋体" w:cs="宋体"/>
          <w:sz w:val="28"/>
          <w:szCs w:val="28"/>
        </w:rPr>
      </w:pPr>
      <w:r>
        <w:rPr>
          <w:rFonts w:hint="eastAsia" w:ascii="宋体" w:hAnsi="宋体" w:cs="宋体"/>
          <w:sz w:val="28"/>
          <w:szCs w:val="28"/>
        </w:rPr>
        <w:t>（3）《辽宁省铁岭县李千户镇金家沟村建筑用白云岩详查报告》评审备案证明》（铁县自然资储备字[2025]01号），铁岭县自然资源局，2025年4月10日</w:t>
      </w:r>
    </w:p>
    <w:p w14:paraId="343A46A3">
      <w:pPr>
        <w:spacing w:line="360" w:lineRule="auto"/>
        <w:ind w:firstLine="560" w:firstLineChars="200"/>
        <w:jc w:val="left"/>
        <w:rPr>
          <w:rFonts w:ascii="宋体" w:hAnsi="宋体" w:cs="宋体"/>
          <w:sz w:val="28"/>
          <w:szCs w:val="28"/>
        </w:rPr>
        <w:sectPr>
          <w:headerReference r:id="rId5" w:type="default"/>
          <w:footerReference r:id="rId6" w:type="default"/>
          <w:footerReference r:id="rId7" w:type="even"/>
          <w:pgSz w:w="11906" w:h="16838"/>
          <w:pgMar w:top="1429" w:right="1661" w:bottom="1208" w:left="1514" w:header="1020" w:footer="907" w:gutter="0"/>
          <w:pgNumType w:start="1"/>
          <w:cols w:space="0" w:num="1"/>
          <w:docGrid w:linePitch="312" w:charSpace="0"/>
        </w:sectPr>
      </w:pPr>
      <w:bookmarkStart w:id="23" w:name="_Toc21932"/>
      <w:r>
        <w:rPr>
          <w:rFonts w:hint="eastAsia" w:ascii="宋体" w:hAnsi="宋体" w:cs="宋体"/>
          <w:sz w:val="28"/>
          <w:szCs w:val="28"/>
        </w:rPr>
        <w:t>（4）矿山提供的其他材料</w:t>
      </w:r>
      <w:bookmarkEnd w:id="23"/>
      <w:r>
        <w:rPr>
          <w:rFonts w:hint="eastAsia" w:ascii="宋体" w:hAnsi="宋体" w:cs="宋体"/>
          <w:sz w:val="28"/>
          <w:szCs w:val="28"/>
        </w:rPr>
        <w:t>。</w:t>
      </w:r>
    </w:p>
    <w:p w14:paraId="01C5E9B5">
      <w:pPr>
        <w:spacing w:line="360" w:lineRule="auto"/>
        <w:jc w:val="center"/>
        <w:outlineLvl w:val="0"/>
        <w:rPr>
          <w:rStyle w:val="48"/>
          <w:rFonts w:ascii="黑体" w:hAnsi="黑体" w:eastAsia="黑体" w:cs="黑体"/>
          <w:color w:val="auto"/>
          <w:szCs w:val="32"/>
          <w:u w:val="none"/>
        </w:rPr>
      </w:pPr>
      <w:bookmarkStart w:id="24" w:name="_Toc24151"/>
      <w:bookmarkStart w:id="25" w:name="_Toc7774"/>
      <w:bookmarkStart w:id="26" w:name="_Toc10551"/>
      <w:r>
        <w:rPr>
          <w:rStyle w:val="48"/>
          <w:rFonts w:hint="eastAsia" w:ascii="黑体" w:hAnsi="黑体" w:eastAsia="黑体" w:cs="黑体"/>
          <w:color w:val="auto"/>
          <w:szCs w:val="32"/>
          <w:u w:val="none"/>
        </w:rPr>
        <w:t>一、矿山基本情况</w:t>
      </w:r>
      <w:bookmarkEnd w:id="24"/>
      <w:bookmarkEnd w:id="25"/>
      <w:bookmarkEnd w:id="26"/>
    </w:p>
    <w:p w14:paraId="6EDD7B05">
      <w:pPr>
        <w:pStyle w:val="78"/>
        <w:spacing w:line="360" w:lineRule="auto"/>
        <w:ind w:firstLine="602" w:firstLineChars="200"/>
        <w:rPr>
          <w:rFonts w:ascii="宋体"/>
          <w:szCs w:val="30"/>
        </w:rPr>
      </w:pPr>
      <w:bookmarkStart w:id="27" w:name="_Toc19746"/>
      <w:bookmarkStart w:id="28" w:name="_Toc17644"/>
      <w:bookmarkStart w:id="29" w:name="_Toc6931"/>
      <w:r>
        <w:rPr>
          <w:rFonts w:hint="eastAsia" w:ascii="宋体"/>
          <w:szCs w:val="30"/>
        </w:rPr>
        <w:t>（一）地理位置</w:t>
      </w:r>
      <w:bookmarkEnd w:id="5"/>
      <w:bookmarkEnd w:id="6"/>
      <w:bookmarkEnd w:id="7"/>
      <w:r>
        <w:rPr>
          <w:rFonts w:hint="eastAsia" w:ascii="宋体"/>
          <w:szCs w:val="30"/>
        </w:rPr>
        <w:t>与区域概况</w:t>
      </w:r>
      <w:bookmarkEnd w:id="27"/>
      <w:bookmarkEnd w:id="28"/>
      <w:bookmarkEnd w:id="29"/>
    </w:p>
    <w:p w14:paraId="5C7F602E">
      <w:pPr>
        <w:pStyle w:val="5"/>
        <w:spacing w:line="360" w:lineRule="auto"/>
        <w:ind w:firstLine="562" w:firstLineChars="200"/>
        <w:rPr>
          <w:rFonts w:ascii="宋体" w:hAnsi="宋体" w:cs="宋体"/>
          <w:sz w:val="28"/>
          <w:szCs w:val="28"/>
        </w:rPr>
      </w:pPr>
      <w:bookmarkStart w:id="30" w:name="_Toc3987"/>
      <w:bookmarkStart w:id="31" w:name="_Toc27934"/>
      <w:bookmarkStart w:id="32" w:name="_Toc255893790"/>
      <w:bookmarkStart w:id="33" w:name="_Toc252630924"/>
      <w:r>
        <w:rPr>
          <w:rFonts w:hint="eastAsia" w:ascii="宋体" w:hAnsi="宋体" w:cs="宋体"/>
          <w:sz w:val="28"/>
          <w:szCs w:val="28"/>
        </w:rPr>
        <w:t>1、矿区位置、隶属关系</w:t>
      </w:r>
      <w:bookmarkEnd w:id="30"/>
      <w:bookmarkEnd w:id="31"/>
    </w:p>
    <w:p w14:paraId="47194528">
      <w:pPr>
        <w:spacing w:line="360" w:lineRule="auto"/>
        <w:ind w:firstLine="564" w:firstLineChars="200"/>
        <w:jc w:val="left"/>
        <w:rPr>
          <w:rFonts w:ascii="宋体" w:hAnsi="宋体"/>
          <w:sz w:val="28"/>
          <w:szCs w:val="28"/>
        </w:rPr>
      </w:pPr>
      <w:r>
        <w:rPr>
          <w:rFonts w:hint="eastAsia" w:ascii="宋体" w:hAnsi="宋体" w:cs="宋体"/>
          <w:spacing w:val="1"/>
          <w:sz w:val="28"/>
          <w:szCs w:val="28"/>
        </w:rPr>
        <w:t>辽宁省铁岭县金家沟村建筑用白云岩、石英砂岩</w:t>
      </w:r>
      <w:r>
        <w:rPr>
          <w:rFonts w:hint="eastAsia" w:ascii="宋体" w:hAnsi="宋体" w:cs="仿宋_GB2312"/>
          <w:snapToGrid w:val="0"/>
          <w:kern w:val="0"/>
          <w:sz w:val="28"/>
        </w:rPr>
        <w:t>矿区位于</w:t>
      </w:r>
      <w:r>
        <w:rPr>
          <w:rFonts w:ascii="宋体" w:hAnsi="宋体"/>
          <w:sz w:val="28"/>
          <w:szCs w:val="28"/>
        </w:rPr>
        <w:t>铁岭县李千户镇金家沟村西约1.5km，行政区划隶属于李千户镇管辖。北距新台子</w:t>
      </w:r>
      <w:r>
        <w:rPr>
          <w:rFonts w:hint="eastAsia" w:ascii="宋体" w:hAnsi="宋体"/>
          <w:sz w:val="28"/>
          <w:szCs w:val="28"/>
        </w:rPr>
        <w:t>-</w:t>
      </w:r>
      <w:r>
        <w:rPr>
          <w:rFonts w:ascii="宋体" w:hAnsi="宋体"/>
          <w:sz w:val="28"/>
          <w:szCs w:val="28"/>
        </w:rPr>
        <w:t>李千户公路5km，南距(经金家沟、八家沟)沈(阳)</w:t>
      </w:r>
      <w:r>
        <w:rPr>
          <w:rFonts w:hint="eastAsia" w:ascii="宋体" w:hAnsi="宋体"/>
          <w:sz w:val="28"/>
          <w:szCs w:val="28"/>
        </w:rPr>
        <w:t>-</w:t>
      </w:r>
      <w:r>
        <w:rPr>
          <w:rFonts w:ascii="宋体" w:hAnsi="宋体"/>
          <w:sz w:val="28"/>
          <w:szCs w:val="28"/>
        </w:rPr>
        <w:t>平(岗)公路约6km，矿区与各村屯有乡村公路相连，交通运输方便。</w:t>
      </w:r>
      <w:r>
        <w:rPr>
          <w:rFonts w:hint="eastAsia" w:ascii="宋体" w:hAnsi="宋体"/>
          <w:sz w:val="28"/>
          <w:szCs w:val="28"/>
        </w:rPr>
        <w:t>距离本区最近火车站为新台子火车站，直距为10km。</w:t>
      </w:r>
      <w:r>
        <w:rPr>
          <w:rFonts w:hint="eastAsia" w:ascii="宋体" w:hAnsi="宋体" w:cs="仿宋"/>
          <w:sz w:val="28"/>
          <w:szCs w:val="28"/>
        </w:rPr>
        <w:t>详见图1-1交通位置图</w:t>
      </w:r>
      <w:r>
        <w:rPr>
          <w:rFonts w:hint="eastAsia" w:ascii="宋体" w:hAnsi="宋体" w:cs="仿宋"/>
          <w:spacing w:val="-4"/>
          <w:sz w:val="28"/>
          <w:szCs w:val="28"/>
        </w:rPr>
        <w:t>。</w:t>
      </w:r>
    </w:p>
    <w:p w14:paraId="17FF9E12">
      <w:pPr>
        <w:spacing w:line="360" w:lineRule="auto"/>
        <w:ind w:firstLine="560" w:firstLineChars="200"/>
        <w:jc w:val="left"/>
        <w:rPr>
          <w:rFonts w:ascii="宋体" w:hAnsi="宋体" w:cs="仿宋_GB2312"/>
          <w:snapToGrid w:val="0"/>
          <w:kern w:val="0"/>
          <w:sz w:val="28"/>
        </w:rPr>
      </w:pPr>
      <w:r>
        <w:rPr>
          <w:rFonts w:hint="eastAsia" w:ascii="宋体" w:hAnsi="宋体" w:cs="仿宋_GB2312"/>
          <w:snapToGrid w:val="0"/>
          <w:kern w:val="0"/>
          <w:sz w:val="28"/>
        </w:rPr>
        <w:t>矿区国家CGS2000大地坐标极值：</w:t>
      </w:r>
    </w:p>
    <w:p w14:paraId="259C19FF">
      <w:pPr>
        <w:spacing w:line="360" w:lineRule="auto"/>
        <w:ind w:firstLine="560" w:firstLineChars="200"/>
        <w:jc w:val="left"/>
        <w:rPr>
          <w:rFonts w:ascii="宋体" w:hAnsi="宋体" w:cs="仿宋_GB2312"/>
          <w:snapToGrid w:val="0"/>
          <w:kern w:val="0"/>
          <w:sz w:val="28"/>
        </w:rPr>
      </w:pPr>
      <w:r>
        <w:rPr>
          <w:rFonts w:hint="eastAsia" w:ascii="宋体" w:hAnsi="宋体" w:cs="仿宋_GB2312"/>
          <w:snapToGrid w:val="0"/>
          <w:kern w:val="0"/>
          <w:sz w:val="28"/>
        </w:rPr>
        <w:t>东经：***°**′**″-***°**′**″</w:t>
      </w:r>
    </w:p>
    <w:p w14:paraId="4BA61476">
      <w:pPr>
        <w:spacing w:line="360" w:lineRule="auto"/>
        <w:ind w:firstLine="560" w:firstLineChars="200"/>
        <w:jc w:val="left"/>
        <w:rPr>
          <w:rFonts w:ascii="宋体" w:hAnsi="宋体" w:cs="仿宋_GB2312"/>
          <w:snapToGrid w:val="0"/>
          <w:kern w:val="0"/>
          <w:sz w:val="28"/>
        </w:rPr>
      </w:pPr>
      <w:r>
        <w:rPr>
          <w:rFonts w:hint="eastAsia" w:ascii="宋体" w:hAnsi="宋体" w:cs="仿宋_GB2312"/>
          <w:snapToGrid w:val="0"/>
          <w:kern w:val="0"/>
          <w:sz w:val="28"/>
        </w:rPr>
        <w:t>北纬：**°**′**″-**°**′**″</w:t>
      </w:r>
    </w:p>
    <w:p w14:paraId="4D4B5404">
      <w:pPr>
        <w:spacing w:line="360" w:lineRule="auto"/>
        <w:jc w:val="center"/>
        <w:rPr>
          <w:rFonts w:ascii="宋体" w:hAnsi="宋体" w:cs="宋体"/>
          <w:color w:val="00B0F0"/>
          <w:sz w:val="28"/>
          <w:szCs w:val="28"/>
        </w:rPr>
      </w:pPr>
    </w:p>
    <w:p w14:paraId="27B7BC14">
      <w:pPr>
        <w:spacing w:line="360" w:lineRule="auto"/>
        <w:jc w:val="center"/>
        <w:rPr>
          <w:rFonts w:ascii="宋体" w:hAnsi="宋体" w:cs="宋体"/>
          <w:color w:val="00B0F0"/>
          <w:sz w:val="28"/>
          <w:szCs w:val="28"/>
        </w:rPr>
      </w:pPr>
    </w:p>
    <w:p w14:paraId="09BF01C9">
      <w:pPr>
        <w:spacing w:line="360" w:lineRule="auto"/>
        <w:jc w:val="center"/>
        <w:rPr>
          <w:rFonts w:ascii="宋体" w:hAnsi="宋体" w:cs="宋体"/>
          <w:color w:val="00B0F0"/>
          <w:sz w:val="28"/>
          <w:szCs w:val="28"/>
        </w:rPr>
      </w:pPr>
    </w:p>
    <w:p w14:paraId="363C2728">
      <w:pPr>
        <w:spacing w:line="360" w:lineRule="auto"/>
        <w:jc w:val="center"/>
        <w:rPr>
          <w:rFonts w:ascii="宋体" w:hAnsi="宋体" w:cs="宋体"/>
          <w:color w:val="00B0F0"/>
          <w:sz w:val="28"/>
          <w:szCs w:val="28"/>
        </w:rPr>
      </w:pPr>
    </w:p>
    <w:p w14:paraId="2821D3E5">
      <w:pPr>
        <w:spacing w:line="360" w:lineRule="auto"/>
        <w:jc w:val="center"/>
        <w:rPr>
          <w:rFonts w:ascii="宋体" w:hAnsi="宋体" w:cs="宋体"/>
          <w:color w:val="00B0F0"/>
          <w:sz w:val="28"/>
          <w:szCs w:val="28"/>
        </w:rPr>
      </w:pPr>
    </w:p>
    <w:p w14:paraId="7BA73E20">
      <w:pPr>
        <w:spacing w:line="360" w:lineRule="auto"/>
        <w:jc w:val="center"/>
        <w:rPr>
          <w:rFonts w:ascii="宋体" w:hAnsi="宋体" w:cs="宋体"/>
          <w:color w:val="00B0F0"/>
          <w:sz w:val="28"/>
          <w:szCs w:val="28"/>
        </w:rPr>
      </w:pPr>
    </w:p>
    <w:p w14:paraId="03E46ACD">
      <w:pPr>
        <w:spacing w:line="360" w:lineRule="auto"/>
        <w:jc w:val="center"/>
        <w:rPr>
          <w:rFonts w:ascii="宋体" w:hAnsi="宋体" w:cs="宋体"/>
          <w:color w:val="00B0F0"/>
          <w:sz w:val="28"/>
          <w:szCs w:val="28"/>
        </w:rPr>
      </w:pPr>
    </w:p>
    <w:p w14:paraId="48DDB6F0">
      <w:pPr>
        <w:spacing w:line="360" w:lineRule="auto"/>
        <w:jc w:val="center"/>
        <w:rPr>
          <w:rFonts w:ascii="宋体" w:hAnsi="宋体" w:cs="宋体"/>
          <w:color w:val="00B0F0"/>
          <w:sz w:val="28"/>
          <w:szCs w:val="28"/>
        </w:rPr>
      </w:pPr>
    </w:p>
    <w:p w14:paraId="11021B10">
      <w:pPr>
        <w:spacing w:line="360" w:lineRule="auto"/>
        <w:jc w:val="center"/>
        <w:rPr>
          <w:rFonts w:ascii="宋体" w:hAnsi="宋体" w:cs="宋体"/>
          <w:color w:val="00B0F0"/>
          <w:sz w:val="28"/>
          <w:szCs w:val="28"/>
        </w:rPr>
      </w:pPr>
    </w:p>
    <w:p w14:paraId="02F98EEA">
      <w:pPr>
        <w:spacing w:line="360" w:lineRule="auto"/>
        <w:jc w:val="center"/>
        <w:rPr>
          <w:rFonts w:ascii="宋体" w:hAnsi="宋体" w:cs="宋体"/>
          <w:color w:val="00B0F0"/>
          <w:sz w:val="28"/>
          <w:szCs w:val="28"/>
        </w:rPr>
      </w:pPr>
    </w:p>
    <w:p w14:paraId="7E372AA3">
      <w:pPr>
        <w:spacing w:line="360" w:lineRule="auto"/>
        <w:jc w:val="center"/>
        <w:rPr>
          <w:rFonts w:ascii="宋体" w:hAnsi="宋体" w:cs="宋体"/>
          <w:color w:val="00B0F0"/>
          <w:sz w:val="28"/>
          <w:szCs w:val="28"/>
        </w:rPr>
      </w:pPr>
    </w:p>
    <w:p w14:paraId="676A2E9F">
      <w:pPr>
        <w:spacing w:line="360" w:lineRule="auto"/>
        <w:jc w:val="center"/>
        <w:rPr>
          <w:rFonts w:ascii="宋体" w:hAnsi="宋体" w:cs="宋体"/>
          <w:color w:val="00B0F0"/>
          <w:sz w:val="28"/>
          <w:szCs w:val="28"/>
        </w:rPr>
      </w:pPr>
    </w:p>
    <w:p w14:paraId="35F57EB6">
      <w:pPr>
        <w:spacing w:line="360" w:lineRule="auto"/>
        <w:jc w:val="center"/>
        <w:rPr>
          <w:rFonts w:ascii="宋体" w:hAnsi="宋体" w:cs="宋体"/>
          <w:b/>
          <w:bCs/>
          <w:sz w:val="24"/>
        </w:rPr>
      </w:pPr>
      <w:r>
        <w:rPr>
          <w:rFonts w:hint="eastAsia" w:ascii="宋体" w:hAnsi="宋体" w:cs="宋体"/>
          <w:b/>
          <w:bCs/>
          <w:sz w:val="24"/>
        </w:rPr>
        <w:t>图1-1   交通位置图</w:t>
      </w:r>
    </w:p>
    <w:p w14:paraId="33CDD03C">
      <w:pPr>
        <w:pStyle w:val="5"/>
        <w:spacing w:line="360" w:lineRule="auto"/>
        <w:ind w:firstLine="562" w:firstLineChars="200"/>
        <w:rPr>
          <w:rFonts w:ascii="宋体" w:hAnsi="宋体" w:cs="宋体"/>
          <w:sz w:val="28"/>
          <w:szCs w:val="28"/>
        </w:rPr>
      </w:pPr>
      <w:r>
        <w:rPr>
          <w:rFonts w:hint="eastAsia" w:ascii="宋体" w:hAnsi="宋体" w:cs="宋体"/>
          <w:sz w:val="28"/>
          <w:szCs w:val="28"/>
        </w:rPr>
        <w:t>2、自然地理与经济概况</w:t>
      </w:r>
    </w:p>
    <w:p w14:paraId="695BB1BE">
      <w:pPr>
        <w:spacing w:line="360" w:lineRule="auto"/>
        <w:ind w:firstLine="560" w:firstLineChars="200"/>
        <w:jc w:val="left"/>
        <w:rPr>
          <w:rFonts w:ascii="宋体" w:hAnsi="宋体" w:cs="仿宋_GB2312"/>
          <w:snapToGrid w:val="0"/>
          <w:kern w:val="0"/>
          <w:sz w:val="28"/>
        </w:rPr>
      </w:pPr>
      <w:bookmarkStart w:id="34" w:name="_Toc21094"/>
      <w:bookmarkStart w:id="35" w:name="OLE_LINK9"/>
      <w:bookmarkStart w:id="36" w:name="_Toc24916"/>
      <w:bookmarkStart w:id="37" w:name="_Toc21729"/>
      <w:r>
        <w:rPr>
          <w:rFonts w:hint="eastAsia" w:ascii="宋体" w:hAnsi="宋体" w:cs="仿宋_GB2312"/>
          <w:snapToGrid w:val="0"/>
          <w:kern w:val="0"/>
          <w:sz w:val="28"/>
        </w:rPr>
        <w:t>（1）地形地貌</w:t>
      </w:r>
    </w:p>
    <w:p w14:paraId="401FB135">
      <w:pPr>
        <w:spacing w:line="360" w:lineRule="auto"/>
        <w:ind w:firstLine="560" w:firstLineChars="200"/>
        <w:jc w:val="left"/>
        <w:rPr>
          <w:rFonts w:ascii="宋体" w:hAnsi="宋体" w:cs="仿宋_GB2312"/>
          <w:snapToGrid w:val="0"/>
          <w:kern w:val="0"/>
          <w:sz w:val="28"/>
        </w:rPr>
      </w:pPr>
      <w:r>
        <w:rPr>
          <w:rFonts w:hint="eastAsia" w:ascii="宋体" w:hAnsi="宋体" w:cs="仿宋_GB2312"/>
          <w:snapToGrid w:val="0"/>
          <w:kern w:val="0"/>
          <w:sz w:val="28"/>
        </w:rPr>
        <w:t>矿区山脉系长白山支脉吉林哈达岭的延续部分，地貌属低山丘陵区，地势大体是西南高东北低，海拔高度+262.5m至+173.6m，相对高差88.9m，地形坡度小于30°。植被不甚发育，除农作物外，多为自然杂木、灌木等，并有少量人造林。</w:t>
      </w:r>
    </w:p>
    <w:p w14:paraId="5E176B90">
      <w:pPr>
        <w:pStyle w:val="98"/>
        <w:adjustRightInd/>
        <w:snapToGrid/>
        <w:ind w:firstLine="560"/>
        <w:jc w:val="left"/>
        <w:rPr>
          <w:rFonts w:ascii="宋体" w:hAnsi="宋体" w:eastAsia="宋体" w:cs="仿宋_GB2312"/>
          <w:snapToGrid w:val="0"/>
          <w:kern w:val="0"/>
          <w:szCs w:val="24"/>
        </w:rPr>
      </w:pPr>
      <w:r>
        <w:rPr>
          <w:rFonts w:hint="eastAsia" w:ascii="宋体" w:hAnsi="宋体" w:eastAsia="宋体" w:cs="仿宋_GB2312"/>
          <w:snapToGrid w:val="0"/>
          <w:kern w:val="0"/>
          <w:szCs w:val="24"/>
        </w:rPr>
        <w:t>（2）气象水文</w:t>
      </w:r>
    </w:p>
    <w:p w14:paraId="0930545A">
      <w:pPr>
        <w:pStyle w:val="98"/>
        <w:adjustRightInd/>
        <w:snapToGrid/>
        <w:ind w:firstLine="560"/>
        <w:jc w:val="left"/>
        <w:rPr>
          <w:rFonts w:ascii="宋体" w:hAnsi="宋体" w:eastAsia="宋体" w:cs="仿宋"/>
        </w:rPr>
      </w:pPr>
      <w:r>
        <w:rPr>
          <w:rFonts w:hint="eastAsia" w:ascii="宋体" w:hAnsi="宋体" w:eastAsia="宋体" w:cs="仿宋_GB2312"/>
          <w:snapToGrid w:val="0"/>
          <w:kern w:val="0"/>
          <w:szCs w:val="24"/>
        </w:rPr>
        <w:t>矿区属中温带亚湿润区季风型大陆性气候，年平均气温7.8°C，1月平均气温－13～－17°C，7月平均气温22～25°C，最低气温－31°C，最高气温34.4°C。雨水较充沛，年平均降水量650～750mm，降水量变化大，汛期集中在7～8月份，约占全年的70%以上，有数据以来最大暴雨强度发生在2010年7月，小时降雨量为50mm。年平均蒸发量在1170-1760毫米之间。每年4月-8月季强对流天气较多，雷电天气频发。春季盛行西南风，风速平均5～6m/s，秋季主导风向为东北风，风速平均3～4m/s。无霜期为130～160天，封冻期150天左右，冻土深度一般为120～140cm，最大冻土深度165cm。</w:t>
      </w:r>
      <w:r>
        <w:rPr>
          <w:rFonts w:hint="eastAsia" w:ascii="宋体" w:hAnsi="宋体" w:eastAsia="宋体" w:cs="仿宋"/>
        </w:rPr>
        <w:t>水系属于辽河水系支流万泉河上游，区域最低侵蚀基准面标高138m。</w:t>
      </w:r>
    </w:p>
    <w:p w14:paraId="7364700C">
      <w:pPr>
        <w:pStyle w:val="98"/>
        <w:adjustRightInd/>
        <w:snapToGrid/>
        <w:ind w:firstLine="560"/>
        <w:jc w:val="left"/>
        <w:rPr>
          <w:rFonts w:ascii="宋体" w:hAnsi="宋体" w:eastAsia="宋体" w:cs="仿宋_GB2312"/>
          <w:snapToGrid w:val="0"/>
          <w:kern w:val="0"/>
          <w:szCs w:val="24"/>
        </w:rPr>
      </w:pPr>
      <w:r>
        <w:rPr>
          <w:rFonts w:ascii="宋体" w:hAnsi="宋体" w:eastAsia="宋体" w:cs="仿宋_GB2312"/>
          <w:snapToGrid w:val="0"/>
          <w:kern w:val="0"/>
          <w:szCs w:val="24"/>
        </w:rPr>
        <w:t>（</w:t>
      </w:r>
      <w:r>
        <w:rPr>
          <w:rFonts w:hint="eastAsia" w:ascii="宋体" w:hAnsi="宋体" w:eastAsia="宋体" w:cs="仿宋_GB2312"/>
          <w:snapToGrid w:val="0"/>
          <w:kern w:val="0"/>
          <w:szCs w:val="24"/>
        </w:rPr>
        <w:t>3</w:t>
      </w:r>
      <w:r>
        <w:rPr>
          <w:rFonts w:ascii="宋体" w:hAnsi="宋体" w:eastAsia="宋体" w:cs="仿宋_GB2312"/>
          <w:snapToGrid w:val="0"/>
          <w:kern w:val="0"/>
          <w:szCs w:val="24"/>
        </w:rPr>
        <w:t>）</w:t>
      </w:r>
      <w:r>
        <w:rPr>
          <w:rFonts w:hint="eastAsia" w:ascii="宋体" w:hAnsi="宋体" w:eastAsia="宋体" w:cs="仿宋_GB2312"/>
          <w:snapToGrid w:val="0"/>
          <w:kern w:val="0"/>
          <w:szCs w:val="24"/>
        </w:rPr>
        <w:t>地震</w:t>
      </w:r>
      <w:r>
        <w:rPr>
          <w:rFonts w:ascii="宋体" w:hAnsi="宋体" w:eastAsia="宋体" w:cs="仿宋_GB2312"/>
          <w:snapToGrid w:val="0"/>
          <w:kern w:val="0"/>
          <w:szCs w:val="24"/>
        </w:rPr>
        <w:t>和地质灾害</w:t>
      </w:r>
    </w:p>
    <w:p w14:paraId="62471D1D">
      <w:pPr>
        <w:spacing w:line="360" w:lineRule="auto"/>
        <w:ind w:firstLine="560" w:firstLineChars="200"/>
        <w:jc w:val="left"/>
        <w:rPr>
          <w:rFonts w:ascii="宋体" w:hAnsi="宋体" w:cs="仿宋_GB2312"/>
          <w:snapToGrid w:val="0"/>
          <w:kern w:val="0"/>
          <w:sz w:val="28"/>
        </w:rPr>
      </w:pPr>
      <w:r>
        <w:rPr>
          <w:rFonts w:hint="eastAsia" w:ascii="宋体" w:hAnsi="宋体" w:cs="仿宋_GB2312"/>
          <w:snapToGrid w:val="0"/>
          <w:kern w:val="0"/>
          <w:sz w:val="28"/>
        </w:rPr>
        <w:t>矿区历史上未发生过较强地震，根据《中国地震动参数区划图》（GB18306-2015），铁岭县地震动峰值加速度为0.10g，地震动加速度反应谱特征周期0.35s，地震基本烈度为Ⅶ度。</w:t>
      </w:r>
    </w:p>
    <w:p w14:paraId="755E7D27">
      <w:pPr>
        <w:spacing w:line="360" w:lineRule="auto"/>
        <w:ind w:firstLine="560" w:firstLineChars="200"/>
        <w:jc w:val="left"/>
        <w:rPr>
          <w:rFonts w:ascii="宋体" w:hAnsi="宋体" w:cs="仿宋_GB2312"/>
          <w:snapToGrid w:val="0"/>
          <w:kern w:val="0"/>
          <w:sz w:val="28"/>
        </w:rPr>
      </w:pPr>
      <w:r>
        <w:rPr>
          <w:rFonts w:hint="eastAsia" w:ascii="宋体" w:hAnsi="宋体" w:cs="仿宋_GB2312"/>
          <w:snapToGrid w:val="0"/>
          <w:kern w:val="0"/>
          <w:sz w:val="28"/>
        </w:rPr>
        <w:t>根据《铁岭市地质灾害调查区划报告》，矿区属于泥石流、滑坡地质灾害低易发区。通过现场调查，未发生过崩塌、滑坡、泥石流、地面塌陷等地质灾害。</w:t>
      </w:r>
    </w:p>
    <w:p w14:paraId="6822DB90">
      <w:pPr>
        <w:spacing w:line="360" w:lineRule="auto"/>
        <w:ind w:firstLine="560" w:firstLineChars="200"/>
        <w:jc w:val="left"/>
        <w:rPr>
          <w:rFonts w:ascii="宋体" w:hAnsi="宋体" w:cs="仿宋_GB2312"/>
          <w:snapToGrid w:val="0"/>
          <w:kern w:val="0"/>
          <w:sz w:val="28"/>
        </w:rPr>
      </w:pPr>
      <w:r>
        <w:rPr>
          <w:rFonts w:hint="eastAsia" w:ascii="宋体" w:hAnsi="宋体" w:cs="仿宋_GB2312"/>
          <w:snapToGrid w:val="0"/>
          <w:kern w:val="0"/>
          <w:sz w:val="28"/>
        </w:rPr>
        <w:t>（4）区域经济</w:t>
      </w:r>
    </w:p>
    <w:p w14:paraId="30D89DC1">
      <w:pPr>
        <w:spacing w:line="360" w:lineRule="auto"/>
        <w:ind w:firstLine="560" w:firstLineChars="200"/>
        <w:jc w:val="left"/>
        <w:rPr>
          <w:rFonts w:ascii="宋体" w:hAnsi="宋体" w:cs="仿宋_GB2312"/>
          <w:snapToGrid w:val="0"/>
          <w:kern w:val="0"/>
          <w:sz w:val="28"/>
        </w:rPr>
      </w:pPr>
      <w:r>
        <w:rPr>
          <w:rFonts w:hint="eastAsia" w:ascii="宋体" w:hAnsi="宋体" w:cs="仿宋_GB2312"/>
          <w:snapToGrid w:val="0"/>
          <w:kern w:val="0"/>
          <w:sz w:val="28"/>
        </w:rPr>
        <w:t>矿区位于铁岭县李千户镇，该地农业基础雄厚，山里物产资源丰富。粮食作物以玉米、水稻、大豆为主，主要经济作物有温室蔬菜等。畜牧业以饲养生猪为主，另有绒山羊、改良黄牛、豁鹅等。全镇林地资源丰富，用材林有油松、落叶松、杨、槐、柳、曲、椴、柞、桦等树木。镇内工业企业较为发达，涵盖煤碳、化工、木制品加工、矿业开发、农副产品深加工等行业，其中出口创汇企业2家，产品远销美国、日本、韩国等国家。</w:t>
      </w:r>
      <w:bookmarkStart w:id="38" w:name="6064739-6277798-6"/>
      <w:bookmarkEnd w:id="38"/>
      <w:r>
        <w:rPr>
          <w:rFonts w:hint="eastAsia" w:ascii="宋体" w:hAnsi="宋体" w:cs="仿宋_GB2312"/>
          <w:snapToGrid w:val="0"/>
          <w:kern w:val="0"/>
          <w:sz w:val="28"/>
          <w:highlight w:val="yellow"/>
        </w:rPr>
        <w:fldChar w:fldCharType="begin"/>
      </w:r>
      <w:r>
        <w:rPr>
          <w:rFonts w:ascii="宋体" w:hAnsi="宋体" w:cs="仿宋_GB2312"/>
          <w:snapToGrid w:val="0"/>
          <w:kern w:val="0"/>
          <w:sz w:val="28"/>
          <w:highlight w:val="yellow"/>
        </w:rPr>
        <w:instrText xml:space="preserve"> HYPERLINK "https://baike.so.com/create/edit/?eid=6064739&amp;sid=6277798&amp;secid=6"</w:instrText>
      </w:r>
      <w:r>
        <w:rPr>
          <w:rFonts w:hint="eastAsia" w:ascii="宋体" w:hAnsi="宋体" w:cs="仿宋_GB2312"/>
          <w:snapToGrid w:val="0"/>
          <w:kern w:val="0"/>
          <w:sz w:val="28"/>
          <w:highlight w:val="yellow"/>
        </w:rPr>
        <w:fldChar w:fldCharType="end"/>
      </w:r>
    </w:p>
    <w:bookmarkEnd w:id="32"/>
    <w:bookmarkEnd w:id="33"/>
    <w:bookmarkEnd w:id="34"/>
    <w:bookmarkEnd w:id="35"/>
    <w:bookmarkEnd w:id="36"/>
    <w:bookmarkEnd w:id="37"/>
    <w:p w14:paraId="5B4DB3AC">
      <w:pPr>
        <w:pStyle w:val="78"/>
        <w:spacing w:line="360" w:lineRule="auto"/>
        <w:ind w:firstLine="602" w:firstLineChars="200"/>
        <w:rPr>
          <w:rFonts w:ascii="宋体"/>
          <w:szCs w:val="30"/>
        </w:rPr>
      </w:pPr>
      <w:bookmarkStart w:id="39" w:name="_Toc7556"/>
      <w:bookmarkStart w:id="40" w:name="_Toc20705"/>
      <w:bookmarkStart w:id="41" w:name="_Toc17828"/>
      <w:bookmarkStart w:id="42" w:name="_Toc13170"/>
      <w:bookmarkStart w:id="43" w:name="_Toc28611"/>
      <w:bookmarkStart w:id="44" w:name="_Toc12878588"/>
      <w:bookmarkStart w:id="45" w:name="_Toc252630926"/>
      <w:r>
        <w:rPr>
          <w:rFonts w:hint="eastAsia" w:ascii="宋体"/>
          <w:szCs w:val="30"/>
        </w:rPr>
        <w:t>（二）申请人基本情况</w:t>
      </w:r>
      <w:bookmarkEnd w:id="39"/>
      <w:bookmarkEnd w:id="40"/>
      <w:bookmarkEnd w:id="41"/>
    </w:p>
    <w:bookmarkEnd w:id="42"/>
    <w:bookmarkEnd w:id="43"/>
    <w:bookmarkEnd w:id="44"/>
    <w:p w14:paraId="62F99BDB">
      <w:pPr>
        <w:spacing w:line="360" w:lineRule="auto"/>
        <w:ind w:firstLine="564" w:firstLineChars="200"/>
        <w:jc w:val="left"/>
        <w:rPr>
          <w:rFonts w:ascii="宋体" w:hAnsi="宋体" w:cs="宋体"/>
          <w:spacing w:val="1"/>
          <w:sz w:val="28"/>
          <w:szCs w:val="28"/>
        </w:rPr>
      </w:pPr>
      <w:bookmarkStart w:id="46" w:name="_Toc12121"/>
      <w:bookmarkStart w:id="47" w:name="_Toc25718"/>
      <w:bookmarkStart w:id="48" w:name="_Toc12548"/>
      <w:r>
        <w:rPr>
          <w:rFonts w:hint="eastAsia" w:ascii="宋体" w:hAnsi="宋体" w:cs="宋体"/>
          <w:spacing w:val="1"/>
          <w:sz w:val="28"/>
          <w:szCs w:val="28"/>
        </w:rPr>
        <w:t>1、申请人简介</w:t>
      </w:r>
    </w:p>
    <w:p w14:paraId="4F6852AB">
      <w:pPr>
        <w:spacing w:line="360" w:lineRule="auto"/>
        <w:ind w:firstLine="564" w:firstLineChars="200"/>
        <w:jc w:val="left"/>
        <w:rPr>
          <w:rFonts w:ascii="宋体" w:hAnsi="宋体" w:cs="宋体"/>
          <w:spacing w:val="-1"/>
          <w:sz w:val="28"/>
          <w:szCs w:val="28"/>
        </w:rPr>
      </w:pPr>
      <w:r>
        <w:rPr>
          <w:rFonts w:ascii="宋体" w:hAnsi="宋体" w:cs="宋体"/>
          <w:spacing w:val="1"/>
          <w:sz w:val="28"/>
          <w:szCs w:val="28"/>
        </w:rPr>
        <w:t>采矿权申请人为铁岭县自然资源局</w:t>
      </w:r>
      <w:r>
        <w:rPr>
          <w:rFonts w:ascii="宋体" w:hAnsi="宋体" w:cs="宋体"/>
          <w:spacing w:val="-1"/>
          <w:sz w:val="28"/>
          <w:szCs w:val="28"/>
        </w:rPr>
        <w:t>。</w:t>
      </w:r>
    </w:p>
    <w:p w14:paraId="21A7A9DB">
      <w:pPr>
        <w:spacing w:line="360" w:lineRule="auto"/>
        <w:ind w:firstLine="564" w:firstLineChars="200"/>
        <w:jc w:val="left"/>
        <w:rPr>
          <w:rFonts w:ascii="宋体" w:hAnsi="宋体" w:cs="宋体"/>
          <w:spacing w:val="1"/>
          <w:sz w:val="28"/>
          <w:szCs w:val="28"/>
        </w:rPr>
      </w:pPr>
      <w:r>
        <w:rPr>
          <w:rFonts w:hint="eastAsia" w:ascii="宋体" w:hAnsi="宋体" w:cs="宋体"/>
          <w:spacing w:val="1"/>
          <w:sz w:val="28"/>
          <w:szCs w:val="28"/>
        </w:rPr>
        <w:t>2、矿业权设置情况</w:t>
      </w:r>
    </w:p>
    <w:p w14:paraId="4450CC0A">
      <w:pPr>
        <w:spacing w:line="360" w:lineRule="auto"/>
        <w:ind w:firstLine="564" w:firstLineChars="200"/>
        <w:jc w:val="left"/>
        <w:rPr>
          <w:rFonts w:ascii="宋体" w:hAnsi="宋体" w:cs="宋体"/>
          <w:spacing w:val="1"/>
          <w:sz w:val="28"/>
          <w:szCs w:val="28"/>
        </w:rPr>
      </w:pPr>
      <w:r>
        <w:rPr>
          <w:rFonts w:hint="eastAsia" w:ascii="宋体" w:hAnsi="宋体" w:cs="宋体"/>
          <w:spacing w:val="1"/>
          <w:sz w:val="28"/>
          <w:szCs w:val="28"/>
        </w:rPr>
        <w:t>（1）原采矿权设置情况</w:t>
      </w:r>
    </w:p>
    <w:p w14:paraId="72FB860F">
      <w:pPr>
        <w:spacing w:line="360" w:lineRule="auto"/>
        <w:ind w:firstLine="560" w:firstLineChars="200"/>
        <w:jc w:val="left"/>
        <w:rPr>
          <w:rFonts w:ascii="宋体" w:hAnsi="宋体" w:cs="宋体"/>
          <w:sz w:val="28"/>
          <w:szCs w:val="28"/>
        </w:rPr>
      </w:pPr>
      <w:r>
        <w:rPr>
          <w:rFonts w:hint="eastAsia" w:ascii="宋体" w:hAnsi="宋体" w:cs="宋体"/>
          <w:sz w:val="28"/>
          <w:szCs w:val="28"/>
        </w:rPr>
        <w:t>集中开采区内原有铁岭县新世捷矿业有限公司已注销，该采矿权最近一次信息如下：</w:t>
      </w:r>
    </w:p>
    <w:p w14:paraId="3D8948E2">
      <w:pPr>
        <w:spacing w:line="360" w:lineRule="auto"/>
        <w:ind w:firstLine="560" w:firstLineChars="200"/>
        <w:jc w:val="left"/>
        <w:rPr>
          <w:rFonts w:ascii="宋体" w:hAnsi="宋体" w:cs="宋体"/>
          <w:sz w:val="28"/>
          <w:szCs w:val="28"/>
        </w:rPr>
      </w:pPr>
      <w:r>
        <w:rPr>
          <w:rFonts w:hint="eastAsia" w:ascii="宋体" w:hAnsi="宋体" w:cs="宋体"/>
          <w:sz w:val="28"/>
          <w:szCs w:val="28"/>
        </w:rPr>
        <w:t>采矿许可证号：C2112212009097120036985</w:t>
      </w:r>
    </w:p>
    <w:p w14:paraId="3E58F6E2">
      <w:pPr>
        <w:spacing w:line="360" w:lineRule="auto"/>
        <w:ind w:firstLine="560" w:firstLineChars="200"/>
        <w:jc w:val="left"/>
        <w:rPr>
          <w:rFonts w:ascii="宋体" w:hAnsi="宋体" w:cs="宋体"/>
          <w:sz w:val="28"/>
          <w:szCs w:val="28"/>
        </w:rPr>
      </w:pPr>
      <w:r>
        <w:rPr>
          <w:rFonts w:hint="eastAsia" w:ascii="宋体" w:hAnsi="宋体" w:cs="宋体"/>
          <w:sz w:val="28"/>
          <w:szCs w:val="28"/>
        </w:rPr>
        <w:t>采矿权人：铁岭县新世捷矿业有限公司</w:t>
      </w:r>
    </w:p>
    <w:p w14:paraId="34840379">
      <w:pPr>
        <w:spacing w:line="360" w:lineRule="auto"/>
        <w:ind w:firstLine="560" w:firstLineChars="200"/>
        <w:jc w:val="left"/>
        <w:rPr>
          <w:rFonts w:ascii="宋体" w:hAnsi="宋体" w:cs="宋体"/>
          <w:sz w:val="28"/>
          <w:szCs w:val="28"/>
        </w:rPr>
      </w:pPr>
      <w:r>
        <w:rPr>
          <w:rFonts w:hint="eastAsia" w:ascii="宋体" w:hAnsi="宋体" w:cs="宋体"/>
          <w:sz w:val="28"/>
          <w:szCs w:val="28"/>
        </w:rPr>
        <w:t>矿山名称：铁岭县新世捷矿业有限公司</w:t>
      </w:r>
    </w:p>
    <w:p w14:paraId="40F67998">
      <w:pPr>
        <w:spacing w:line="360" w:lineRule="auto"/>
        <w:ind w:firstLine="560" w:firstLineChars="200"/>
        <w:jc w:val="left"/>
        <w:rPr>
          <w:rFonts w:ascii="宋体" w:hAnsi="宋体" w:cs="宋体"/>
          <w:sz w:val="28"/>
          <w:szCs w:val="28"/>
        </w:rPr>
      </w:pPr>
      <w:r>
        <w:rPr>
          <w:rFonts w:hint="eastAsia" w:ascii="宋体" w:hAnsi="宋体" w:cs="宋体"/>
          <w:sz w:val="28"/>
          <w:szCs w:val="28"/>
        </w:rPr>
        <w:t>经济类型：有限责任公司</w:t>
      </w:r>
    </w:p>
    <w:p w14:paraId="3190D320">
      <w:pPr>
        <w:spacing w:line="360" w:lineRule="auto"/>
        <w:ind w:firstLine="560" w:firstLineChars="200"/>
        <w:jc w:val="left"/>
        <w:rPr>
          <w:rFonts w:ascii="宋体" w:hAnsi="宋体" w:cs="宋体"/>
          <w:sz w:val="28"/>
          <w:szCs w:val="28"/>
        </w:rPr>
      </w:pPr>
      <w:r>
        <w:rPr>
          <w:rFonts w:hint="eastAsia" w:ascii="宋体" w:hAnsi="宋体" w:cs="宋体"/>
          <w:sz w:val="28"/>
          <w:szCs w:val="28"/>
        </w:rPr>
        <w:t>开采矿种：建筑用白云岩</w:t>
      </w:r>
    </w:p>
    <w:p w14:paraId="400771C3">
      <w:pPr>
        <w:spacing w:line="360" w:lineRule="auto"/>
        <w:ind w:firstLine="560" w:firstLineChars="200"/>
        <w:jc w:val="left"/>
        <w:rPr>
          <w:rFonts w:ascii="宋体" w:hAnsi="宋体" w:cs="宋体"/>
          <w:sz w:val="28"/>
          <w:szCs w:val="28"/>
        </w:rPr>
      </w:pPr>
      <w:r>
        <w:rPr>
          <w:rFonts w:hint="eastAsia" w:ascii="宋体" w:hAnsi="宋体" w:cs="宋体"/>
          <w:sz w:val="28"/>
          <w:szCs w:val="28"/>
        </w:rPr>
        <w:t>开采方式：露天开采</w:t>
      </w:r>
    </w:p>
    <w:p w14:paraId="2C385492">
      <w:pPr>
        <w:spacing w:line="360" w:lineRule="auto"/>
        <w:ind w:firstLine="560" w:firstLineChars="200"/>
        <w:jc w:val="left"/>
        <w:rPr>
          <w:rFonts w:ascii="宋体" w:hAnsi="宋体" w:cs="宋体"/>
          <w:sz w:val="28"/>
          <w:szCs w:val="28"/>
        </w:rPr>
      </w:pPr>
      <w:r>
        <w:rPr>
          <w:rFonts w:hint="eastAsia" w:ascii="宋体" w:hAnsi="宋体" w:cs="宋体"/>
          <w:sz w:val="28"/>
          <w:szCs w:val="28"/>
        </w:rPr>
        <w:t>生产规模：10.8万吨/年</w:t>
      </w:r>
    </w:p>
    <w:p w14:paraId="27F0D2D8">
      <w:pPr>
        <w:spacing w:line="360" w:lineRule="auto"/>
        <w:ind w:firstLine="560" w:firstLineChars="200"/>
        <w:jc w:val="left"/>
        <w:rPr>
          <w:rFonts w:ascii="宋体" w:hAnsi="宋体" w:cs="宋体"/>
          <w:sz w:val="28"/>
          <w:szCs w:val="28"/>
        </w:rPr>
      </w:pPr>
      <w:r>
        <w:rPr>
          <w:rFonts w:hint="eastAsia" w:ascii="宋体" w:hAnsi="宋体" w:cs="宋体"/>
          <w:sz w:val="28"/>
          <w:szCs w:val="28"/>
        </w:rPr>
        <w:t>矿区面积：0.0378平方公里</w:t>
      </w:r>
    </w:p>
    <w:p w14:paraId="451C1707">
      <w:pPr>
        <w:spacing w:line="360" w:lineRule="auto"/>
        <w:ind w:firstLine="560" w:firstLineChars="200"/>
        <w:jc w:val="left"/>
        <w:rPr>
          <w:rFonts w:ascii="宋体" w:hAnsi="宋体" w:cs="宋体"/>
          <w:sz w:val="28"/>
          <w:szCs w:val="28"/>
        </w:rPr>
      </w:pPr>
      <w:r>
        <w:rPr>
          <w:rFonts w:hint="eastAsia" w:ascii="宋体" w:hAnsi="宋体" w:cs="宋体"/>
          <w:sz w:val="28"/>
          <w:szCs w:val="28"/>
        </w:rPr>
        <w:t>有效期限：2018年12月22日至2020年8月22日</w:t>
      </w:r>
    </w:p>
    <w:p w14:paraId="3025C9FD">
      <w:pPr>
        <w:spacing w:line="360" w:lineRule="auto"/>
        <w:ind w:firstLine="560" w:firstLineChars="200"/>
        <w:jc w:val="left"/>
        <w:rPr>
          <w:rFonts w:ascii="宋体" w:hAnsi="宋体" w:cs="宋体"/>
          <w:sz w:val="28"/>
          <w:szCs w:val="28"/>
        </w:rPr>
      </w:pPr>
      <w:r>
        <w:rPr>
          <w:rFonts w:hint="eastAsia" w:ascii="宋体" w:hAnsi="宋体" w:cs="宋体"/>
          <w:sz w:val="28"/>
          <w:szCs w:val="28"/>
        </w:rPr>
        <w:t>开采标高；从+233m至+164m</w:t>
      </w:r>
    </w:p>
    <w:p w14:paraId="67C436CB">
      <w:pPr>
        <w:spacing w:line="360" w:lineRule="auto"/>
        <w:ind w:firstLine="560" w:firstLineChars="200"/>
        <w:jc w:val="left"/>
        <w:rPr>
          <w:rFonts w:ascii="宋体" w:hAnsi="宋体" w:cs="宋体"/>
          <w:sz w:val="28"/>
          <w:szCs w:val="28"/>
        </w:rPr>
      </w:pPr>
      <w:r>
        <w:rPr>
          <w:rFonts w:hint="eastAsia" w:ascii="宋体" w:hAnsi="宋体" w:cs="宋体"/>
          <w:sz w:val="28"/>
          <w:szCs w:val="28"/>
        </w:rPr>
        <w:t>发证机关：铁岭县自然资源局</w:t>
      </w:r>
    </w:p>
    <w:p w14:paraId="1802AA54">
      <w:pPr>
        <w:spacing w:line="360" w:lineRule="auto"/>
        <w:ind w:firstLine="560" w:firstLineChars="200"/>
        <w:jc w:val="left"/>
        <w:rPr>
          <w:rFonts w:ascii="宋体" w:hAnsi="宋体" w:cs="宋体"/>
          <w:sz w:val="28"/>
          <w:szCs w:val="28"/>
        </w:rPr>
      </w:pPr>
      <w:r>
        <w:rPr>
          <w:rFonts w:hint="eastAsia" w:ascii="宋体" w:hAnsi="宋体" w:cs="宋体"/>
          <w:sz w:val="28"/>
          <w:szCs w:val="28"/>
        </w:rPr>
        <w:t>发证日期：2020年1月3日</w:t>
      </w:r>
    </w:p>
    <w:p w14:paraId="039F6280">
      <w:pPr>
        <w:spacing w:line="360" w:lineRule="auto"/>
        <w:ind w:firstLine="560" w:firstLineChars="200"/>
        <w:jc w:val="left"/>
        <w:rPr>
          <w:rFonts w:ascii="宋体" w:hAnsi="宋体" w:cs="宋体"/>
          <w:sz w:val="28"/>
          <w:szCs w:val="28"/>
        </w:rPr>
      </w:pPr>
      <w:r>
        <w:rPr>
          <w:rFonts w:hint="eastAsia" w:ascii="宋体" w:hAnsi="宋体" w:cs="宋体"/>
          <w:sz w:val="28"/>
          <w:szCs w:val="28"/>
        </w:rPr>
        <w:t>原采矿权范围由5个坐标拐点圈定，各拐点坐标见表1-1。</w:t>
      </w:r>
    </w:p>
    <w:p w14:paraId="139FD82F">
      <w:pPr>
        <w:spacing w:line="360" w:lineRule="auto"/>
        <w:ind w:firstLine="560" w:firstLineChars="200"/>
        <w:jc w:val="left"/>
        <w:rPr>
          <w:rFonts w:ascii="宋体" w:hAnsi="宋体" w:cs="宋体"/>
          <w:sz w:val="28"/>
          <w:szCs w:val="28"/>
        </w:rPr>
      </w:pPr>
    </w:p>
    <w:p w14:paraId="3B4BFFCA">
      <w:pPr>
        <w:spacing w:line="360" w:lineRule="auto"/>
        <w:jc w:val="center"/>
        <w:rPr>
          <w:rFonts w:ascii="宋体" w:hAnsi="宋体" w:cs="仿宋"/>
          <w:b/>
          <w:bCs/>
          <w:color w:val="000000"/>
          <w:szCs w:val="21"/>
        </w:rPr>
      </w:pPr>
    </w:p>
    <w:p w14:paraId="75FD1194">
      <w:pPr>
        <w:spacing w:line="360" w:lineRule="auto"/>
        <w:jc w:val="center"/>
        <w:rPr>
          <w:rFonts w:ascii="宋体" w:hAnsi="宋体" w:cs="宋体"/>
          <w:sz w:val="28"/>
          <w:szCs w:val="28"/>
        </w:rPr>
      </w:pPr>
      <w:r>
        <w:rPr>
          <w:rFonts w:hint="eastAsia" w:ascii="宋体" w:hAnsi="宋体" w:cs="仿宋"/>
          <w:b/>
          <w:bCs/>
          <w:color w:val="000000"/>
          <w:szCs w:val="21"/>
        </w:rPr>
        <w:t>表1-1    矿区拐点平面直角坐标一览表</w:t>
      </w:r>
    </w:p>
    <w:tbl>
      <w:tblPr>
        <w:tblStyle w:val="42"/>
        <w:tblW w:w="446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6"/>
        <w:gridCol w:w="2432"/>
        <w:gridCol w:w="2628"/>
        <w:gridCol w:w="1692"/>
      </w:tblGrid>
      <w:tr w14:paraId="26B4C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vMerge w:val="restart"/>
            <w:vAlign w:val="center"/>
          </w:tcPr>
          <w:p w14:paraId="05EB1AFB">
            <w:pPr>
              <w:snapToGrid w:val="0"/>
              <w:jc w:val="center"/>
              <w:rPr>
                <w:rFonts w:ascii="宋体" w:hAnsi="宋体"/>
                <w:b/>
                <w:bCs/>
                <w:color w:val="000000"/>
                <w:szCs w:val="21"/>
              </w:rPr>
            </w:pPr>
            <w:r>
              <w:rPr>
                <w:rFonts w:ascii="宋体" w:hAnsi="宋体"/>
                <w:b/>
                <w:bCs/>
                <w:color w:val="000000"/>
                <w:szCs w:val="21"/>
              </w:rPr>
              <w:t>拐点编号</w:t>
            </w:r>
          </w:p>
        </w:tc>
        <w:tc>
          <w:tcPr>
            <w:tcW w:w="3167" w:type="pct"/>
            <w:gridSpan w:val="2"/>
            <w:vAlign w:val="center"/>
          </w:tcPr>
          <w:p w14:paraId="33BBC73A">
            <w:pPr>
              <w:snapToGrid w:val="0"/>
              <w:jc w:val="center"/>
              <w:rPr>
                <w:rFonts w:ascii="宋体" w:hAnsi="宋体"/>
                <w:b/>
                <w:bCs/>
                <w:color w:val="000000"/>
                <w:szCs w:val="21"/>
              </w:rPr>
            </w:pPr>
            <w:r>
              <w:rPr>
                <w:rFonts w:ascii="宋体" w:hAnsi="宋体"/>
                <w:b/>
                <w:bCs/>
                <w:color w:val="000000"/>
                <w:szCs w:val="21"/>
              </w:rPr>
              <w:t>平面直角坐标（国家2000坐标）</w:t>
            </w:r>
          </w:p>
        </w:tc>
        <w:tc>
          <w:tcPr>
            <w:tcW w:w="1059" w:type="pct"/>
            <w:vMerge w:val="restart"/>
            <w:vAlign w:val="center"/>
          </w:tcPr>
          <w:p w14:paraId="2A244761">
            <w:pPr>
              <w:snapToGrid w:val="0"/>
              <w:jc w:val="center"/>
              <w:rPr>
                <w:rFonts w:ascii="宋体" w:hAnsi="宋体"/>
                <w:b/>
                <w:bCs/>
                <w:color w:val="000000"/>
                <w:szCs w:val="21"/>
              </w:rPr>
            </w:pPr>
            <w:r>
              <w:rPr>
                <w:rFonts w:ascii="宋体" w:hAnsi="宋体"/>
                <w:b/>
                <w:bCs/>
                <w:color w:val="000000"/>
                <w:szCs w:val="21"/>
              </w:rPr>
              <w:t>备注</w:t>
            </w:r>
          </w:p>
        </w:tc>
      </w:tr>
      <w:tr w14:paraId="0ADE2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vMerge w:val="continue"/>
            <w:vAlign w:val="center"/>
          </w:tcPr>
          <w:p w14:paraId="339A25F9">
            <w:pPr>
              <w:snapToGrid w:val="0"/>
              <w:jc w:val="center"/>
              <w:rPr>
                <w:rFonts w:ascii="宋体" w:hAnsi="宋体"/>
                <w:color w:val="000000"/>
                <w:szCs w:val="21"/>
              </w:rPr>
            </w:pPr>
          </w:p>
        </w:tc>
        <w:tc>
          <w:tcPr>
            <w:tcW w:w="1522" w:type="pct"/>
            <w:vAlign w:val="center"/>
          </w:tcPr>
          <w:p w14:paraId="5644FD65">
            <w:pPr>
              <w:snapToGrid w:val="0"/>
              <w:jc w:val="center"/>
              <w:rPr>
                <w:rFonts w:ascii="宋体" w:hAnsi="宋体"/>
                <w:b/>
                <w:bCs/>
                <w:color w:val="000000"/>
                <w:szCs w:val="21"/>
              </w:rPr>
            </w:pPr>
            <w:r>
              <w:rPr>
                <w:rFonts w:ascii="宋体" w:hAnsi="宋体"/>
                <w:b/>
                <w:bCs/>
                <w:color w:val="000000"/>
                <w:szCs w:val="21"/>
              </w:rPr>
              <w:t>X</w:t>
            </w:r>
          </w:p>
        </w:tc>
        <w:tc>
          <w:tcPr>
            <w:tcW w:w="1645" w:type="pct"/>
            <w:vAlign w:val="center"/>
          </w:tcPr>
          <w:p w14:paraId="186DB95F">
            <w:pPr>
              <w:snapToGrid w:val="0"/>
              <w:jc w:val="center"/>
              <w:rPr>
                <w:rFonts w:ascii="宋体" w:hAnsi="宋体"/>
                <w:b/>
                <w:bCs/>
                <w:color w:val="000000"/>
                <w:szCs w:val="21"/>
              </w:rPr>
            </w:pPr>
            <w:r>
              <w:rPr>
                <w:rFonts w:ascii="宋体" w:hAnsi="宋体"/>
                <w:b/>
                <w:bCs/>
                <w:color w:val="000000"/>
                <w:szCs w:val="21"/>
              </w:rPr>
              <w:t>Y</w:t>
            </w:r>
          </w:p>
        </w:tc>
        <w:tc>
          <w:tcPr>
            <w:tcW w:w="1059" w:type="pct"/>
            <w:vMerge w:val="continue"/>
            <w:vAlign w:val="center"/>
          </w:tcPr>
          <w:p w14:paraId="34E27677">
            <w:pPr>
              <w:snapToGrid w:val="0"/>
              <w:jc w:val="center"/>
              <w:rPr>
                <w:rFonts w:ascii="宋体" w:hAnsi="宋体"/>
                <w:color w:val="000000"/>
                <w:szCs w:val="21"/>
              </w:rPr>
            </w:pPr>
          </w:p>
        </w:tc>
      </w:tr>
      <w:tr w14:paraId="541B1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vAlign w:val="center"/>
          </w:tcPr>
          <w:p w14:paraId="15952038">
            <w:pPr>
              <w:jc w:val="center"/>
              <w:rPr>
                <w:rFonts w:ascii="宋体" w:hAnsi="宋体" w:cs="宋体"/>
                <w:szCs w:val="21"/>
              </w:rPr>
            </w:pPr>
            <w:bookmarkStart w:id="49" w:name="OLE_LINK4" w:colFirst="0" w:colLast="2"/>
            <w:bookmarkStart w:id="50" w:name="OLE_LINK3" w:colFirst="0" w:colLast="2"/>
            <w:bookmarkStart w:id="51" w:name="_Hlk502735241"/>
            <w:r>
              <w:rPr>
                <w:rFonts w:hint="eastAsia" w:ascii="宋体" w:hAnsi="宋体"/>
                <w:szCs w:val="21"/>
              </w:rPr>
              <w:t>1</w:t>
            </w:r>
          </w:p>
        </w:tc>
        <w:tc>
          <w:tcPr>
            <w:tcW w:w="1522" w:type="pct"/>
            <w:vAlign w:val="center"/>
          </w:tcPr>
          <w:p w14:paraId="21FA75CC">
            <w:pPr>
              <w:jc w:val="center"/>
              <w:rPr>
                <w:rFonts w:ascii="宋体" w:hAnsi="宋体" w:cs="宋体"/>
                <w:szCs w:val="21"/>
              </w:rPr>
            </w:pPr>
          </w:p>
        </w:tc>
        <w:tc>
          <w:tcPr>
            <w:tcW w:w="1645" w:type="pct"/>
            <w:vAlign w:val="center"/>
          </w:tcPr>
          <w:p w14:paraId="53BF7B5D">
            <w:pPr>
              <w:jc w:val="center"/>
              <w:rPr>
                <w:rFonts w:ascii="宋体" w:hAnsi="宋体" w:cs="宋体"/>
                <w:szCs w:val="21"/>
              </w:rPr>
            </w:pPr>
          </w:p>
        </w:tc>
        <w:tc>
          <w:tcPr>
            <w:tcW w:w="1059" w:type="pct"/>
            <w:vMerge w:val="restart"/>
            <w:vAlign w:val="center"/>
          </w:tcPr>
          <w:p w14:paraId="61C32FB9">
            <w:pPr>
              <w:snapToGrid w:val="0"/>
              <w:jc w:val="center"/>
              <w:rPr>
                <w:rFonts w:ascii="宋体" w:hAnsi="宋体"/>
                <w:color w:val="000000"/>
                <w:szCs w:val="21"/>
              </w:rPr>
            </w:pPr>
            <w:r>
              <w:rPr>
                <w:rFonts w:ascii="宋体" w:hAnsi="宋体"/>
                <w:color w:val="000000"/>
                <w:szCs w:val="21"/>
              </w:rPr>
              <w:t>开采标高</w:t>
            </w:r>
          </w:p>
          <w:p w14:paraId="53265DE3">
            <w:pPr>
              <w:snapToGrid w:val="0"/>
              <w:jc w:val="center"/>
              <w:rPr>
                <w:rFonts w:ascii="宋体" w:hAnsi="宋体"/>
                <w:color w:val="000000"/>
                <w:szCs w:val="21"/>
              </w:rPr>
            </w:pPr>
            <w:r>
              <w:rPr>
                <w:rFonts w:ascii="宋体" w:hAnsi="宋体"/>
                <w:color w:val="000000"/>
                <w:szCs w:val="21"/>
              </w:rPr>
              <w:t>+</w:t>
            </w:r>
            <w:r>
              <w:rPr>
                <w:rFonts w:hint="eastAsia" w:ascii="宋体" w:hAnsi="宋体"/>
                <w:color w:val="000000"/>
                <w:szCs w:val="21"/>
              </w:rPr>
              <w:t>233</w:t>
            </w:r>
            <w:r>
              <w:rPr>
                <w:rFonts w:ascii="宋体" w:hAnsi="宋体"/>
                <w:color w:val="000000"/>
                <w:szCs w:val="21"/>
              </w:rPr>
              <w:t>～+</w:t>
            </w:r>
            <w:r>
              <w:rPr>
                <w:rFonts w:hint="eastAsia" w:ascii="宋体" w:hAnsi="宋体"/>
                <w:color w:val="000000"/>
                <w:szCs w:val="21"/>
              </w:rPr>
              <w:t>164</w:t>
            </w:r>
            <w:r>
              <w:rPr>
                <w:rFonts w:ascii="宋体" w:hAnsi="宋体"/>
                <w:color w:val="000000"/>
                <w:szCs w:val="21"/>
              </w:rPr>
              <w:t>m</w:t>
            </w:r>
          </w:p>
        </w:tc>
      </w:tr>
      <w:tr w14:paraId="05D0A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vAlign w:val="center"/>
          </w:tcPr>
          <w:p w14:paraId="52D0B71A">
            <w:pPr>
              <w:jc w:val="center"/>
              <w:rPr>
                <w:rFonts w:ascii="宋体" w:hAnsi="宋体" w:cs="宋体"/>
                <w:szCs w:val="21"/>
              </w:rPr>
            </w:pPr>
            <w:r>
              <w:rPr>
                <w:rFonts w:hint="eastAsia" w:ascii="宋体" w:hAnsi="宋体"/>
                <w:szCs w:val="21"/>
              </w:rPr>
              <w:t>2</w:t>
            </w:r>
          </w:p>
        </w:tc>
        <w:tc>
          <w:tcPr>
            <w:tcW w:w="1522" w:type="pct"/>
            <w:vAlign w:val="center"/>
          </w:tcPr>
          <w:p w14:paraId="312F1FDE">
            <w:pPr>
              <w:jc w:val="center"/>
              <w:rPr>
                <w:rFonts w:ascii="宋体" w:hAnsi="宋体" w:cs="宋体"/>
                <w:szCs w:val="21"/>
              </w:rPr>
            </w:pPr>
          </w:p>
        </w:tc>
        <w:tc>
          <w:tcPr>
            <w:tcW w:w="1645" w:type="pct"/>
            <w:vAlign w:val="center"/>
          </w:tcPr>
          <w:p w14:paraId="03E1A35C">
            <w:pPr>
              <w:jc w:val="center"/>
              <w:rPr>
                <w:rFonts w:ascii="宋体" w:hAnsi="宋体" w:cs="宋体"/>
                <w:szCs w:val="21"/>
              </w:rPr>
            </w:pPr>
          </w:p>
        </w:tc>
        <w:tc>
          <w:tcPr>
            <w:tcW w:w="1059" w:type="pct"/>
            <w:vMerge w:val="continue"/>
            <w:vAlign w:val="center"/>
          </w:tcPr>
          <w:p w14:paraId="13422D39">
            <w:pPr>
              <w:snapToGrid w:val="0"/>
              <w:jc w:val="center"/>
              <w:rPr>
                <w:rFonts w:ascii="宋体" w:hAnsi="宋体"/>
                <w:color w:val="000000"/>
                <w:szCs w:val="21"/>
              </w:rPr>
            </w:pPr>
          </w:p>
        </w:tc>
      </w:tr>
      <w:tr w14:paraId="316A9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vAlign w:val="center"/>
          </w:tcPr>
          <w:p w14:paraId="105FAC43">
            <w:pPr>
              <w:jc w:val="center"/>
              <w:rPr>
                <w:rFonts w:ascii="宋体" w:hAnsi="宋体" w:cs="宋体"/>
                <w:szCs w:val="21"/>
              </w:rPr>
            </w:pPr>
            <w:r>
              <w:rPr>
                <w:rFonts w:hint="eastAsia" w:ascii="宋体" w:hAnsi="宋体"/>
                <w:szCs w:val="21"/>
              </w:rPr>
              <w:t>3</w:t>
            </w:r>
          </w:p>
        </w:tc>
        <w:tc>
          <w:tcPr>
            <w:tcW w:w="1522" w:type="pct"/>
            <w:vAlign w:val="center"/>
          </w:tcPr>
          <w:p w14:paraId="760C585B">
            <w:pPr>
              <w:jc w:val="center"/>
              <w:rPr>
                <w:rFonts w:ascii="宋体" w:hAnsi="宋体" w:cs="宋体"/>
                <w:szCs w:val="21"/>
              </w:rPr>
            </w:pPr>
          </w:p>
        </w:tc>
        <w:tc>
          <w:tcPr>
            <w:tcW w:w="1645" w:type="pct"/>
            <w:vAlign w:val="center"/>
          </w:tcPr>
          <w:p w14:paraId="335C1288">
            <w:pPr>
              <w:jc w:val="center"/>
              <w:rPr>
                <w:rFonts w:ascii="宋体" w:hAnsi="宋体" w:cs="宋体"/>
                <w:szCs w:val="21"/>
              </w:rPr>
            </w:pPr>
          </w:p>
        </w:tc>
        <w:tc>
          <w:tcPr>
            <w:tcW w:w="1059" w:type="pct"/>
            <w:vMerge w:val="continue"/>
            <w:vAlign w:val="center"/>
          </w:tcPr>
          <w:p w14:paraId="299E132C">
            <w:pPr>
              <w:snapToGrid w:val="0"/>
              <w:jc w:val="center"/>
              <w:rPr>
                <w:rFonts w:ascii="宋体" w:hAnsi="宋体"/>
                <w:color w:val="000000"/>
                <w:szCs w:val="21"/>
              </w:rPr>
            </w:pPr>
          </w:p>
        </w:tc>
      </w:tr>
      <w:tr w14:paraId="7D779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vAlign w:val="center"/>
          </w:tcPr>
          <w:p w14:paraId="5B1EFED0">
            <w:pPr>
              <w:jc w:val="center"/>
              <w:rPr>
                <w:rFonts w:ascii="宋体" w:hAnsi="宋体" w:cs="宋体"/>
                <w:szCs w:val="21"/>
              </w:rPr>
            </w:pPr>
            <w:r>
              <w:rPr>
                <w:rFonts w:hint="eastAsia" w:ascii="宋体" w:hAnsi="宋体"/>
                <w:szCs w:val="21"/>
              </w:rPr>
              <w:t>4</w:t>
            </w:r>
          </w:p>
        </w:tc>
        <w:tc>
          <w:tcPr>
            <w:tcW w:w="1522" w:type="pct"/>
            <w:vAlign w:val="center"/>
          </w:tcPr>
          <w:p w14:paraId="0944F523">
            <w:pPr>
              <w:jc w:val="center"/>
              <w:rPr>
                <w:rFonts w:ascii="宋体" w:hAnsi="宋体" w:cs="宋体"/>
                <w:szCs w:val="21"/>
              </w:rPr>
            </w:pPr>
          </w:p>
        </w:tc>
        <w:tc>
          <w:tcPr>
            <w:tcW w:w="1645" w:type="pct"/>
            <w:vAlign w:val="center"/>
          </w:tcPr>
          <w:p w14:paraId="3E202893">
            <w:pPr>
              <w:jc w:val="center"/>
              <w:rPr>
                <w:rFonts w:ascii="宋体" w:hAnsi="宋体" w:cs="宋体"/>
                <w:szCs w:val="21"/>
              </w:rPr>
            </w:pPr>
          </w:p>
        </w:tc>
        <w:tc>
          <w:tcPr>
            <w:tcW w:w="1059" w:type="pct"/>
            <w:vMerge w:val="continue"/>
            <w:vAlign w:val="center"/>
          </w:tcPr>
          <w:p w14:paraId="2975A488">
            <w:pPr>
              <w:snapToGrid w:val="0"/>
              <w:jc w:val="center"/>
              <w:rPr>
                <w:rFonts w:ascii="宋体" w:hAnsi="宋体"/>
                <w:color w:val="000000"/>
                <w:szCs w:val="21"/>
              </w:rPr>
            </w:pPr>
          </w:p>
        </w:tc>
      </w:tr>
      <w:tr w14:paraId="3E99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vAlign w:val="center"/>
          </w:tcPr>
          <w:p w14:paraId="41284F99">
            <w:pPr>
              <w:jc w:val="center"/>
              <w:rPr>
                <w:rFonts w:ascii="宋体" w:hAnsi="宋体" w:cs="宋体"/>
                <w:szCs w:val="21"/>
              </w:rPr>
            </w:pPr>
            <w:r>
              <w:rPr>
                <w:rFonts w:hint="eastAsia" w:ascii="宋体" w:hAnsi="宋体"/>
                <w:szCs w:val="21"/>
              </w:rPr>
              <w:t>5</w:t>
            </w:r>
          </w:p>
        </w:tc>
        <w:tc>
          <w:tcPr>
            <w:tcW w:w="1522" w:type="pct"/>
            <w:vAlign w:val="center"/>
          </w:tcPr>
          <w:p w14:paraId="0C146F9F">
            <w:pPr>
              <w:jc w:val="center"/>
              <w:rPr>
                <w:rFonts w:ascii="宋体" w:hAnsi="宋体" w:cs="宋体"/>
                <w:szCs w:val="21"/>
              </w:rPr>
            </w:pPr>
          </w:p>
        </w:tc>
        <w:tc>
          <w:tcPr>
            <w:tcW w:w="1645" w:type="pct"/>
            <w:vAlign w:val="center"/>
          </w:tcPr>
          <w:p w14:paraId="0728F8FE">
            <w:pPr>
              <w:jc w:val="center"/>
              <w:rPr>
                <w:rFonts w:ascii="宋体" w:hAnsi="宋体" w:cs="宋体"/>
                <w:szCs w:val="21"/>
              </w:rPr>
            </w:pPr>
          </w:p>
        </w:tc>
        <w:tc>
          <w:tcPr>
            <w:tcW w:w="1059" w:type="pct"/>
            <w:vMerge w:val="continue"/>
            <w:vAlign w:val="center"/>
          </w:tcPr>
          <w:p w14:paraId="65D779CE">
            <w:pPr>
              <w:snapToGrid w:val="0"/>
              <w:jc w:val="center"/>
              <w:rPr>
                <w:rFonts w:ascii="宋体" w:hAnsi="宋体"/>
                <w:color w:val="000000"/>
                <w:szCs w:val="21"/>
              </w:rPr>
            </w:pPr>
          </w:p>
        </w:tc>
      </w:tr>
      <w:bookmarkEnd w:id="49"/>
      <w:bookmarkEnd w:id="50"/>
      <w:bookmarkEnd w:id="51"/>
    </w:tbl>
    <w:p w14:paraId="02117B79">
      <w:pPr>
        <w:spacing w:line="360" w:lineRule="auto"/>
        <w:ind w:firstLine="564" w:firstLineChars="200"/>
        <w:jc w:val="left"/>
        <w:rPr>
          <w:rFonts w:ascii="宋体" w:hAnsi="宋体" w:cs="宋体"/>
          <w:spacing w:val="1"/>
          <w:sz w:val="28"/>
          <w:szCs w:val="28"/>
        </w:rPr>
      </w:pPr>
      <w:r>
        <w:rPr>
          <w:rFonts w:hint="eastAsia" w:ascii="宋体" w:hAnsi="宋体" w:cs="宋体"/>
          <w:spacing w:val="1"/>
          <w:sz w:val="28"/>
          <w:szCs w:val="28"/>
        </w:rPr>
        <w:t>（2）集中开采区设置情况</w:t>
      </w:r>
    </w:p>
    <w:p w14:paraId="2E2F03BF">
      <w:pPr>
        <w:spacing w:line="360" w:lineRule="auto"/>
        <w:ind w:firstLine="564" w:firstLineChars="200"/>
        <w:jc w:val="left"/>
        <w:rPr>
          <w:rFonts w:ascii="宋体" w:hAnsi="宋体" w:cs="宋体"/>
          <w:sz w:val="28"/>
          <w:szCs w:val="28"/>
        </w:rPr>
      </w:pPr>
      <w:r>
        <w:rPr>
          <w:rFonts w:hint="eastAsia" w:ascii="宋体" w:hAnsi="宋体" w:cs="宋体"/>
          <w:spacing w:val="1"/>
          <w:sz w:val="28"/>
          <w:szCs w:val="28"/>
        </w:rPr>
        <w:t>2023年</w:t>
      </w:r>
      <w:r>
        <w:rPr>
          <w:rFonts w:ascii="宋体" w:hAnsi="宋体" w:cs="宋体"/>
          <w:spacing w:val="1"/>
          <w:sz w:val="28"/>
          <w:szCs w:val="28"/>
        </w:rPr>
        <w:t>铁岭县自然资源局</w:t>
      </w:r>
      <w:r>
        <w:rPr>
          <w:rFonts w:hint="eastAsia" w:ascii="宋体" w:hAnsi="宋体" w:cs="宋体"/>
          <w:sz w:val="28"/>
          <w:szCs w:val="28"/>
        </w:rPr>
        <w:t>在铁岭县新世捷矿业有限公司矿区范围基础上设立了“铁岭县李千户镇金家沟村建筑用白云岩集中开采区”，所属图幅号K51E012016，设定开采标高自262m至170m，矿区面积0.2km</w:t>
      </w:r>
      <w:r>
        <w:rPr>
          <w:rFonts w:hint="eastAsia" w:ascii="宋体" w:hAnsi="宋体" w:cs="宋体"/>
          <w:sz w:val="28"/>
          <w:szCs w:val="28"/>
          <w:vertAlign w:val="superscript"/>
        </w:rPr>
        <w:t>2</w:t>
      </w:r>
      <w:r>
        <w:rPr>
          <w:rFonts w:hint="eastAsia" w:ascii="宋体" w:hAnsi="宋体" w:cs="宋体"/>
          <w:sz w:val="28"/>
          <w:szCs w:val="28"/>
        </w:rPr>
        <w:t>，由19个坐标拐点圈定，各拐点平面直角坐标见表1-2。</w:t>
      </w:r>
    </w:p>
    <w:p w14:paraId="490C061C">
      <w:pPr>
        <w:spacing w:line="360" w:lineRule="auto"/>
        <w:jc w:val="center"/>
        <w:rPr>
          <w:rFonts w:ascii="宋体" w:hAnsi="宋体" w:cs="仿宋"/>
          <w:b/>
          <w:bCs/>
          <w:color w:val="000000"/>
          <w:szCs w:val="21"/>
        </w:rPr>
      </w:pPr>
      <w:r>
        <w:rPr>
          <w:rFonts w:hint="eastAsia" w:ascii="宋体" w:hAnsi="宋体" w:cs="仿宋"/>
          <w:b/>
          <w:bCs/>
          <w:color w:val="000000"/>
          <w:szCs w:val="21"/>
        </w:rPr>
        <w:t>表1-2    集中开采区平面直角拐点坐标一览表</w:t>
      </w:r>
    </w:p>
    <w:tbl>
      <w:tblPr>
        <w:tblStyle w:val="42"/>
        <w:tblW w:w="443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5"/>
        <w:gridCol w:w="2527"/>
        <w:gridCol w:w="2825"/>
        <w:gridCol w:w="1295"/>
      </w:tblGrid>
      <w:tr w14:paraId="6424CC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vMerge w:val="restart"/>
            <w:tcBorders>
              <w:top w:val="single" w:color="000000" w:sz="6" w:space="0"/>
              <w:left w:val="single" w:color="000000" w:sz="6" w:space="0"/>
              <w:bottom w:val="single" w:color="000000" w:sz="6" w:space="0"/>
              <w:right w:val="single" w:color="000000" w:sz="6" w:space="0"/>
            </w:tcBorders>
            <w:vAlign w:val="center"/>
          </w:tcPr>
          <w:p w14:paraId="48738429">
            <w:pPr>
              <w:pStyle w:val="119"/>
              <w:spacing w:line="0" w:lineRule="atLeast"/>
              <w:ind w:left="-4"/>
              <w:jc w:val="center"/>
              <w:rPr>
                <w:rFonts w:asciiTheme="minorEastAsia" w:hAnsiTheme="minorEastAsia" w:eastAsiaTheme="minorEastAsia"/>
                <w:sz w:val="21"/>
                <w:szCs w:val="21"/>
              </w:rPr>
            </w:pPr>
            <w:r>
              <w:rPr>
                <w:rFonts w:hint="eastAsia" w:asciiTheme="minorEastAsia" w:hAnsiTheme="minorEastAsia" w:eastAsiaTheme="minorEastAsia"/>
                <w:spacing w:val="-6"/>
                <w:sz w:val="21"/>
                <w:szCs w:val="21"/>
              </w:rPr>
              <w:t>拐点</w:t>
            </w:r>
          </w:p>
          <w:p w14:paraId="671F9F13">
            <w:pPr>
              <w:pStyle w:val="119"/>
              <w:spacing w:line="0" w:lineRule="atLeast"/>
              <w:ind w:left="-4"/>
              <w:jc w:val="center"/>
              <w:rPr>
                <w:rFonts w:asciiTheme="minorEastAsia" w:hAnsiTheme="minorEastAsia" w:eastAsiaTheme="minorEastAsia"/>
                <w:sz w:val="21"/>
                <w:szCs w:val="21"/>
              </w:rPr>
            </w:pPr>
            <w:r>
              <w:rPr>
                <w:rFonts w:hint="eastAsia" w:asciiTheme="minorEastAsia" w:hAnsiTheme="minorEastAsia" w:eastAsiaTheme="minorEastAsia"/>
                <w:spacing w:val="-6"/>
                <w:sz w:val="21"/>
                <w:szCs w:val="21"/>
              </w:rPr>
              <w:t>编号</w:t>
            </w:r>
          </w:p>
        </w:tc>
        <w:tc>
          <w:tcPr>
            <w:tcW w:w="5352" w:type="dxa"/>
            <w:gridSpan w:val="2"/>
            <w:tcBorders>
              <w:top w:val="single" w:color="000000" w:sz="6" w:space="0"/>
              <w:left w:val="single" w:color="000000" w:sz="6" w:space="0"/>
              <w:bottom w:val="single" w:color="000000" w:sz="6" w:space="0"/>
              <w:right w:val="single" w:color="000000" w:sz="6" w:space="0"/>
            </w:tcBorders>
            <w:vAlign w:val="center"/>
          </w:tcPr>
          <w:p w14:paraId="1DF0EEFF">
            <w:pPr>
              <w:pStyle w:val="119"/>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pacing w:val="-5"/>
                <w:sz w:val="21"/>
                <w:szCs w:val="21"/>
              </w:rPr>
              <w:t>2000国家大地坐标系</w:t>
            </w:r>
          </w:p>
        </w:tc>
        <w:tc>
          <w:tcPr>
            <w:tcW w:w="1295" w:type="dxa"/>
            <w:vMerge w:val="restart"/>
            <w:tcBorders>
              <w:top w:val="single" w:color="000000" w:sz="6" w:space="0"/>
              <w:left w:val="single" w:color="000000" w:sz="6" w:space="0"/>
              <w:right w:val="single" w:color="000000" w:sz="6" w:space="0"/>
            </w:tcBorders>
            <w:vAlign w:val="center"/>
          </w:tcPr>
          <w:p w14:paraId="20CBDBDE">
            <w:pPr>
              <w:pStyle w:val="119"/>
              <w:spacing w:line="0" w:lineRule="atLeast"/>
              <w:jc w:val="center"/>
              <w:rPr>
                <w:rFonts w:asciiTheme="minorEastAsia" w:hAnsiTheme="minorEastAsia" w:eastAsiaTheme="minorEastAsia"/>
                <w:spacing w:val="-5"/>
                <w:sz w:val="21"/>
                <w:szCs w:val="21"/>
                <w:lang w:eastAsia="zh-CN"/>
              </w:rPr>
            </w:pPr>
            <w:r>
              <w:rPr>
                <w:rFonts w:hint="eastAsia" w:asciiTheme="minorEastAsia" w:hAnsiTheme="minorEastAsia" w:eastAsiaTheme="minorEastAsia"/>
                <w:spacing w:val="-5"/>
                <w:sz w:val="21"/>
                <w:szCs w:val="21"/>
              </w:rPr>
              <w:t>备注</w:t>
            </w:r>
          </w:p>
        </w:tc>
      </w:tr>
      <w:tr w14:paraId="7F5F22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vMerge w:val="continue"/>
            <w:tcBorders>
              <w:top w:val="single" w:color="000000" w:sz="6" w:space="0"/>
              <w:left w:val="single" w:color="000000" w:sz="6" w:space="0"/>
              <w:bottom w:val="single" w:color="000000" w:sz="6" w:space="0"/>
              <w:right w:val="single" w:color="000000" w:sz="6" w:space="0"/>
            </w:tcBorders>
            <w:vAlign w:val="center"/>
          </w:tcPr>
          <w:p w14:paraId="796D583C">
            <w:pPr>
              <w:spacing w:line="0" w:lineRule="atLeast"/>
              <w:jc w:val="center"/>
              <w:rPr>
                <w:rFonts w:cs="宋体" w:asciiTheme="minorEastAsia" w:hAnsiTheme="minorEastAsia" w:eastAsiaTheme="minorEastAsia"/>
                <w:szCs w:val="21"/>
              </w:rPr>
            </w:pPr>
          </w:p>
        </w:tc>
        <w:tc>
          <w:tcPr>
            <w:tcW w:w="2527" w:type="dxa"/>
            <w:tcBorders>
              <w:top w:val="single" w:color="000000" w:sz="6" w:space="0"/>
              <w:left w:val="single" w:color="000000" w:sz="6" w:space="0"/>
              <w:bottom w:val="single" w:color="000000" w:sz="6" w:space="0"/>
              <w:right w:val="single" w:color="000000" w:sz="6" w:space="0"/>
            </w:tcBorders>
            <w:vAlign w:val="center"/>
          </w:tcPr>
          <w:p w14:paraId="1E1F5948">
            <w:pPr>
              <w:pStyle w:val="119"/>
              <w:spacing w:line="276" w:lineRule="auto"/>
              <w:ind w:left="76" w:leftChars="3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X</w:t>
            </w:r>
          </w:p>
        </w:tc>
        <w:tc>
          <w:tcPr>
            <w:tcW w:w="2825" w:type="dxa"/>
            <w:tcBorders>
              <w:top w:val="single" w:color="000000" w:sz="6" w:space="0"/>
              <w:left w:val="single" w:color="000000" w:sz="6" w:space="0"/>
              <w:bottom w:val="single" w:color="000000" w:sz="6" w:space="0"/>
              <w:right w:val="single" w:color="000000" w:sz="6" w:space="0"/>
            </w:tcBorders>
            <w:vAlign w:val="center"/>
          </w:tcPr>
          <w:p w14:paraId="0031FDF5">
            <w:pPr>
              <w:pStyle w:val="119"/>
              <w:spacing w:line="276" w:lineRule="auto"/>
              <w:ind w:left="76" w:leftChars="3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Y</w:t>
            </w:r>
          </w:p>
        </w:tc>
        <w:tc>
          <w:tcPr>
            <w:tcW w:w="1295" w:type="dxa"/>
            <w:vMerge w:val="continue"/>
            <w:tcBorders>
              <w:left w:val="single" w:color="000000" w:sz="6" w:space="0"/>
              <w:bottom w:val="single" w:color="000000" w:sz="6" w:space="0"/>
              <w:right w:val="single" w:color="000000" w:sz="6" w:space="0"/>
            </w:tcBorders>
            <w:vAlign w:val="center"/>
          </w:tcPr>
          <w:p w14:paraId="76259E49">
            <w:pPr>
              <w:pStyle w:val="119"/>
              <w:spacing w:line="0" w:lineRule="atLeast"/>
              <w:ind w:left="76" w:leftChars="36"/>
              <w:jc w:val="center"/>
              <w:rPr>
                <w:rFonts w:asciiTheme="minorEastAsia" w:hAnsiTheme="minorEastAsia" w:eastAsiaTheme="minorEastAsia"/>
                <w:sz w:val="21"/>
                <w:szCs w:val="21"/>
              </w:rPr>
            </w:pPr>
          </w:p>
        </w:tc>
      </w:tr>
      <w:tr w14:paraId="6A8167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4E0B59C7">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w:t>
            </w:r>
          </w:p>
        </w:tc>
        <w:tc>
          <w:tcPr>
            <w:tcW w:w="2527" w:type="dxa"/>
            <w:tcBorders>
              <w:top w:val="single" w:color="000000" w:sz="6" w:space="0"/>
              <w:left w:val="single" w:color="000000" w:sz="6" w:space="0"/>
              <w:bottom w:val="single" w:color="000000" w:sz="6" w:space="0"/>
              <w:right w:val="single" w:color="000000" w:sz="6" w:space="0"/>
            </w:tcBorders>
            <w:vAlign w:val="center"/>
          </w:tcPr>
          <w:p w14:paraId="0D08C86E">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6AA9B39D">
            <w:pPr>
              <w:jc w:val="center"/>
              <w:rPr>
                <w:rFonts w:cs="宋体" w:asciiTheme="minorEastAsia" w:hAnsiTheme="minorEastAsia" w:eastAsiaTheme="minorEastAsia"/>
                <w:color w:val="000000"/>
                <w:szCs w:val="21"/>
              </w:rPr>
            </w:pPr>
          </w:p>
        </w:tc>
        <w:tc>
          <w:tcPr>
            <w:tcW w:w="1295" w:type="dxa"/>
            <w:vMerge w:val="restart"/>
            <w:tcBorders>
              <w:top w:val="single" w:color="000000" w:sz="6" w:space="0"/>
              <w:left w:val="single" w:color="000000" w:sz="6" w:space="0"/>
              <w:right w:val="single" w:color="000000" w:sz="6" w:space="0"/>
            </w:tcBorders>
            <w:vAlign w:val="center"/>
          </w:tcPr>
          <w:p w14:paraId="3F2A8F5F">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面积0.2km</w:t>
            </w:r>
            <w:r>
              <w:rPr>
                <w:rFonts w:hint="eastAsia" w:cs="仿宋" w:asciiTheme="minorEastAsia" w:hAnsiTheme="minorEastAsia" w:eastAsiaTheme="minorEastAsia"/>
                <w:color w:val="000000"/>
                <w:kern w:val="0"/>
                <w:szCs w:val="21"/>
                <w:vertAlign w:val="superscript"/>
              </w:rPr>
              <w:t>2</w:t>
            </w:r>
          </w:p>
          <w:p w14:paraId="2BCB656A">
            <w:pPr>
              <w:widowControl/>
              <w:spacing w:line="0" w:lineRule="atLeast"/>
              <w:jc w:val="center"/>
              <w:textAlignment w:val="bottom"/>
              <w:rPr>
                <w:rFonts w:cs="仿宋" w:asciiTheme="minorEastAsia" w:hAnsiTheme="minorEastAsia" w:eastAsiaTheme="minorEastAsia"/>
                <w:color w:val="000000"/>
                <w:kern w:val="0"/>
                <w:szCs w:val="21"/>
              </w:rPr>
            </w:pPr>
          </w:p>
        </w:tc>
      </w:tr>
      <w:tr w14:paraId="0D4321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6482A432">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2</w:t>
            </w:r>
          </w:p>
        </w:tc>
        <w:tc>
          <w:tcPr>
            <w:tcW w:w="2527" w:type="dxa"/>
            <w:tcBorders>
              <w:top w:val="single" w:color="000000" w:sz="6" w:space="0"/>
              <w:left w:val="single" w:color="000000" w:sz="6" w:space="0"/>
              <w:bottom w:val="single" w:color="000000" w:sz="6" w:space="0"/>
              <w:right w:val="single" w:color="000000" w:sz="6" w:space="0"/>
            </w:tcBorders>
            <w:vAlign w:val="center"/>
          </w:tcPr>
          <w:p w14:paraId="64295A0B">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161A2840">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005CC3C5">
            <w:pPr>
              <w:widowControl/>
              <w:spacing w:line="0" w:lineRule="atLeast"/>
              <w:jc w:val="center"/>
              <w:textAlignment w:val="bottom"/>
              <w:rPr>
                <w:rFonts w:cs="仿宋" w:asciiTheme="minorEastAsia" w:hAnsiTheme="minorEastAsia" w:eastAsiaTheme="minorEastAsia"/>
                <w:color w:val="000000"/>
                <w:kern w:val="0"/>
                <w:szCs w:val="21"/>
              </w:rPr>
            </w:pPr>
          </w:p>
        </w:tc>
      </w:tr>
      <w:tr w14:paraId="376313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56FD3F5A">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3</w:t>
            </w:r>
          </w:p>
        </w:tc>
        <w:tc>
          <w:tcPr>
            <w:tcW w:w="2527" w:type="dxa"/>
            <w:tcBorders>
              <w:top w:val="single" w:color="000000" w:sz="6" w:space="0"/>
              <w:left w:val="single" w:color="000000" w:sz="6" w:space="0"/>
              <w:bottom w:val="single" w:color="000000" w:sz="6" w:space="0"/>
              <w:right w:val="single" w:color="000000" w:sz="6" w:space="0"/>
            </w:tcBorders>
            <w:vAlign w:val="center"/>
          </w:tcPr>
          <w:p w14:paraId="38B8161F">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5F33B515">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7EFBE0A1">
            <w:pPr>
              <w:widowControl/>
              <w:spacing w:line="0" w:lineRule="atLeast"/>
              <w:jc w:val="center"/>
              <w:textAlignment w:val="bottom"/>
              <w:rPr>
                <w:rFonts w:cs="仿宋" w:asciiTheme="minorEastAsia" w:hAnsiTheme="minorEastAsia" w:eastAsiaTheme="minorEastAsia"/>
                <w:color w:val="000000"/>
                <w:kern w:val="0"/>
                <w:szCs w:val="21"/>
              </w:rPr>
            </w:pPr>
          </w:p>
        </w:tc>
      </w:tr>
      <w:tr w14:paraId="09A762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7E14F448">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4</w:t>
            </w:r>
          </w:p>
        </w:tc>
        <w:tc>
          <w:tcPr>
            <w:tcW w:w="2527" w:type="dxa"/>
            <w:tcBorders>
              <w:top w:val="single" w:color="000000" w:sz="6" w:space="0"/>
              <w:left w:val="single" w:color="000000" w:sz="6" w:space="0"/>
              <w:bottom w:val="single" w:color="000000" w:sz="6" w:space="0"/>
              <w:right w:val="single" w:color="000000" w:sz="6" w:space="0"/>
            </w:tcBorders>
            <w:vAlign w:val="center"/>
          </w:tcPr>
          <w:p w14:paraId="67D80421">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5628B2CD">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04224E84">
            <w:pPr>
              <w:widowControl/>
              <w:spacing w:line="0" w:lineRule="atLeast"/>
              <w:jc w:val="center"/>
              <w:textAlignment w:val="bottom"/>
              <w:rPr>
                <w:rFonts w:cs="仿宋" w:asciiTheme="minorEastAsia" w:hAnsiTheme="minorEastAsia" w:eastAsiaTheme="minorEastAsia"/>
                <w:color w:val="000000"/>
                <w:kern w:val="0"/>
                <w:szCs w:val="21"/>
              </w:rPr>
            </w:pPr>
          </w:p>
        </w:tc>
      </w:tr>
      <w:tr w14:paraId="0E10C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340EE7C6">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5</w:t>
            </w:r>
          </w:p>
        </w:tc>
        <w:tc>
          <w:tcPr>
            <w:tcW w:w="2527" w:type="dxa"/>
            <w:tcBorders>
              <w:top w:val="single" w:color="000000" w:sz="6" w:space="0"/>
              <w:left w:val="single" w:color="000000" w:sz="6" w:space="0"/>
              <w:bottom w:val="single" w:color="000000" w:sz="6" w:space="0"/>
              <w:right w:val="single" w:color="000000" w:sz="6" w:space="0"/>
            </w:tcBorders>
            <w:vAlign w:val="center"/>
          </w:tcPr>
          <w:p w14:paraId="48E83A60">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3FC52451">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19381B45">
            <w:pPr>
              <w:widowControl/>
              <w:spacing w:line="0" w:lineRule="atLeast"/>
              <w:jc w:val="center"/>
              <w:textAlignment w:val="bottom"/>
              <w:rPr>
                <w:rFonts w:cs="仿宋" w:asciiTheme="minorEastAsia" w:hAnsiTheme="minorEastAsia" w:eastAsiaTheme="minorEastAsia"/>
                <w:color w:val="000000"/>
                <w:kern w:val="0"/>
                <w:szCs w:val="21"/>
              </w:rPr>
            </w:pPr>
          </w:p>
        </w:tc>
      </w:tr>
      <w:tr w14:paraId="2E9256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2D1D7EC8">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6</w:t>
            </w:r>
          </w:p>
        </w:tc>
        <w:tc>
          <w:tcPr>
            <w:tcW w:w="2527" w:type="dxa"/>
            <w:tcBorders>
              <w:top w:val="single" w:color="000000" w:sz="6" w:space="0"/>
              <w:left w:val="single" w:color="000000" w:sz="6" w:space="0"/>
              <w:bottom w:val="single" w:color="000000" w:sz="6" w:space="0"/>
              <w:right w:val="single" w:color="000000" w:sz="6" w:space="0"/>
            </w:tcBorders>
            <w:vAlign w:val="center"/>
          </w:tcPr>
          <w:p w14:paraId="21E94153">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4705CBE0">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10D16A9D">
            <w:pPr>
              <w:widowControl/>
              <w:spacing w:line="0" w:lineRule="atLeast"/>
              <w:jc w:val="center"/>
              <w:textAlignment w:val="bottom"/>
              <w:rPr>
                <w:rFonts w:cs="仿宋" w:asciiTheme="minorEastAsia" w:hAnsiTheme="minorEastAsia" w:eastAsiaTheme="minorEastAsia"/>
                <w:color w:val="000000"/>
                <w:kern w:val="0"/>
                <w:szCs w:val="21"/>
              </w:rPr>
            </w:pPr>
          </w:p>
        </w:tc>
      </w:tr>
      <w:tr w14:paraId="0C6F25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13670989">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7</w:t>
            </w:r>
          </w:p>
        </w:tc>
        <w:tc>
          <w:tcPr>
            <w:tcW w:w="2527" w:type="dxa"/>
            <w:tcBorders>
              <w:top w:val="single" w:color="000000" w:sz="6" w:space="0"/>
              <w:left w:val="single" w:color="000000" w:sz="6" w:space="0"/>
              <w:bottom w:val="single" w:color="000000" w:sz="6" w:space="0"/>
              <w:right w:val="single" w:color="000000" w:sz="6" w:space="0"/>
            </w:tcBorders>
            <w:vAlign w:val="center"/>
          </w:tcPr>
          <w:p w14:paraId="3E83F43F">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30CE1CBB">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00AE28C9">
            <w:pPr>
              <w:widowControl/>
              <w:spacing w:line="0" w:lineRule="atLeast"/>
              <w:jc w:val="center"/>
              <w:textAlignment w:val="bottom"/>
              <w:rPr>
                <w:rFonts w:cs="仿宋" w:asciiTheme="minorEastAsia" w:hAnsiTheme="minorEastAsia" w:eastAsiaTheme="minorEastAsia"/>
                <w:color w:val="000000"/>
                <w:kern w:val="0"/>
                <w:szCs w:val="21"/>
              </w:rPr>
            </w:pPr>
          </w:p>
        </w:tc>
      </w:tr>
      <w:tr w14:paraId="190084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69D33B05">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8</w:t>
            </w:r>
          </w:p>
        </w:tc>
        <w:tc>
          <w:tcPr>
            <w:tcW w:w="2527" w:type="dxa"/>
            <w:tcBorders>
              <w:top w:val="single" w:color="000000" w:sz="6" w:space="0"/>
              <w:left w:val="single" w:color="000000" w:sz="6" w:space="0"/>
              <w:bottom w:val="single" w:color="000000" w:sz="6" w:space="0"/>
              <w:right w:val="single" w:color="000000" w:sz="6" w:space="0"/>
            </w:tcBorders>
            <w:vAlign w:val="center"/>
          </w:tcPr>
          <w:p w14:paraId="3FE88B46">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320C7CF7">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1BEAB2A6">
            <w:pPr>
              <w:widowControl/>
              <w:spacing w:line="0" w:lineRule="atLeast"/>
              <w:jc w:val="center"/>
              <w:textAlignment w:val="bottom"/>
              <w:rPr>
                <w:rFonts w:cs="仿宋" w:asciiTheme="minorEastAsia" w:hAnsiTheme="minorEastAsia" w:eastAsiaTheme="minorEastAsia"/>
                <w:color w:val="000000"/>
                <w:kern w:val="0"/>
                <w:szCs w:val="21"/>
              </w:rPr>
            </w:pPr>
          </w:p>
        </w:tc>
      </w:tr>
      <w:tr w14:paraId="5F9948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41A8F339">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9</w:t>
            </w:r>
          </w:p>
        </w:tc>
        <w:tc>
          <w:tcPr>
            <w:tcW w:w="2527" w:type="dxa"/>
            <w:tcBorders>
              <w:top w:val="single" w:color="000000" w:sz="6" w:space="0"/>
              <w:left w:val="single" w:color="000000" w:sz="6" w:space="0"/>
              <w:bottom w:val="single" w:color="000000" w:sz="6" w:space="0"/>
              <w:right w:val="single" w:color="000000" w:sz="6" w:space="0"/>
            </w:tcBorders>
            <w:vAlign w:val="center"/>
          </w:tcPr>
          <w:p w14:paraId="0F37264F">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3337AA88">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39D6CD1B">
            <w:pPr>
              <w:widowControl/>
              <w:spacing w:line="0" w:lineRule="atLeast"/>
              <w:jc w:val="center"/>
              <w:textAlignment w:val="bottom"/>
              <w:rPr>
                <w:rFonts w:cs="仿宋" w:asciiTheme="minorEastAsia" w:hAnsiTheme="minorEastAsia" w:eastAsiaTheme="minorEastAsia"/>
                <w:color w:val="000000"/>
                <w:kern w:val="0"/>
                <w:szCs w:val="21"/>
              </w:rPr>
            </w:pPr>
          </w:p>
        </w:tc>
      </w:tr>
      <w:tr w14:paraId="001C13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3C74E931">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10</w:t>
            </w:r>
          </w:p>
        </w:tc>
        <w:tc>
          <w:tcPr>
            <w:tcW w:w="2527" w:type="dxa"/>
            <w:tcBorders>
              <w:top w:val="single" w:color="000000" w:sz="6" w:space="0"/>
              <w:left w:val="single" w:color="000000" w:sz="6" w:space="0"/>
              <w:bottom w:val="single" w:color="000000" w:sz="6" w:space="0"/>
              <w:right w:val="single" w:color="000000" w:sz="6" w:space="0"/>
            </w:tcBorders>
            <w:vAlign w:val="center"/>
          </w:tcPr>
          <w:p w14:paraId="4A50F5F5">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338961B6">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2092588E">
            <w:pPr>
              <w:widowControl/>
              <w:spacing w:line="0" w:lineRule="atLeast"/>
              <w:jc w:val="center"/>
              <w:textAlignment w:val="bottom"/>
              <w:rPr>
                <w:rFonts w:cs="仿宋" w:asciiTheme="minorEastAsia" w:hAnsiTheme="minorEastAsia" w:eastAsiaTheme="minorEastAsia"/>
                <w:color w:val="000000"/>
                <w:kern w:val="0"/>
                <w:szCs w:val="21"/>
              </w:rPr>
            </w:pPr>
          </w:p>
        </w:tc>
      </w:tr>
      <w:tr w14:paraId="70C43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325E5804">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11</w:t>
            </w:r>
          </w:p>
        </w:tc>
        <w:tc>
          <w:tcPr>
            <w:tcW w:w="2527" w:type="dxa"/>
            <w:tcBorders>
              <w:top w:val="single" w:color="000000" w:sz="6" w:space="0"/>
              <w:left w:val="single" w:color="000000" w:sz="6" w:space="0"/>
              <w:bottom w:val="single" w:color="000000" w:sz="6" w:space="0"/>
              <w:right w:val="single" w:color="000000" w:sz="6" w:space="0"/>
            </w:tcBorders>
            <w:vAlign w:val="center"/>
          </w:tcPr>
          <w:p w14:paraId="6D2067FC">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287242F5">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1189DF16">
            <w:pPr>
              <w:widowControl/>
              <w:spacing w:line="0" w:lineRule="atLeast"/>
              <w:jc w:val="center"/>
              <w:textAlignment w:val="bottom"/>
              <w:rPr>
                <w:rFonts w:cs="仿宋" w:asciiTheme="minorEastAsia" w:hAnsiTheme="minorEastAsia" w:eastAsiaTheme="minorEastAsia"/>
                <w:color w:val="000000"/>
                <w:kern w:val="0"/>
                <w:szCs w:val="21"/>
              </w:rPr>
            </w:pPr>
          </w:p>
        </w:tc>
      </w:tr>
      <w:tr w14:paraId="5D28B1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0B03BF2D">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12</w:t>
            </w:r>
          </w:p>
        </w:tc>
        <w:tc>
          <w:tcPr>
            <w:tcW w:w="2527" w:type="dxa"/>
            <w:tcBorders>
              <w:top w:val="single" w:color="000000" w:sz="6" w:space="0"/>
              <w:left w:val="single" w:color="000000" w:sz="6" w:space="0"/>
              <w:bottom w:val="single" w:color="000000" w:sz="6" w:space="0"/>
              <w:right w:val="single" w:color="000000" w:sz="6" w:space="0"/>
            </w:tcBorders>
            <w:vAlign w:val="center"/>
          </w:tcPr>
          <w:p w14:paraId="5435F0B2">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56A0C2EE">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4C18D315">
            <w:pPr>
              <w:widowControl/>
              <w:spacing w:line="0" w:lineRule="atLeast"/>
              <w:jc w:val="center"/>
              <w:textAlignment w:val="bottom"/>
              <w:rPr>
                <w:rFonts w:cs="仿宋" w:asciiTheme="minorEastAsia" w:hAnsiTheme="minorEastAsia" w:eastAsiaTheme="minorEastAsia"/>
                <w:color w:val="000000"/>
                <w:kern w:val="0"/>
                <w:szCs w:val="21"/>
              </w:rPr>
            </w:pPr>
          </w:p>
        </w:tc>
      </w:tr>
      <w:tr w14:paraId="5F0672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3D9B1856">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13</w:t>
            </w:r>
          </w:p>
        </w:tc>
        <w:tc>
          <w:tcPr>
            <w:tcW w:w="2527" w:type="dxa"/>
            <w:tcBorders>
              <w:top w:val="single" w:color="000000" w:sz="6" w:space="0"/>
              <w:left w:val="single" w:color="000000" w:sz="6" w:space="0"/>
              <w:bottom w:val="single" w:color="000000" w:sz="6" w:space="0"/>
              <w:right w:val="single" w:color="000000" w:sz="6" w:space="0"/>
            </w:tcBorders>
            <w:vAlign w:val="center"/>
          </w:tcPr>
          <w:p w14:paraId="202C3076">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16E6496E">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45759E5E">
            <w:pPr>
              <w:widowControl/>
              <w:spacing w:line="0" w:lineRule="atLeast"/>
              <w:jc w:val="center"/>
              <w:textAlignment w:val="bottom"/>
              <w:rPr>
                <w:rFonts w:cs="仿宋" w:asciiTheme="minorEastAsia" w:hAnsiTheme="minorEastAsia" w:eastAsiaTheme="minorEastAsia"/>
                <w:color w:val="000000"/>
                <w:kern w:val="0"/>
                <w:szCs w:val="21"/>
              </w:rPr>
            </w:pPr>
          </w:p>
        </w:tc>
      </w:tr>
      <w:tr w14:paraId="37E955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492184F8">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14</w:t>
            </w:r>
          </w:p>
        </w:tc>
        <w:tc>
          <w:tcPr>
            <w:tcW w:w="2527" w:type="dxa"/>
            <w:tcBorders>
              <w:top w:val="single" w:color="000000" w:sz="6" w:space="0"/>
              <w:left w:val="single" w:color="000000" w:sz="6" w:space="0"/>
              <w:bottom w:val="single" w:color="000000" w:sz="6" w:space="0"/>
              <w:right w:val="single" w:color="000000" w:sz="6" w:space="0"/>
            </w:tcBorders>
            <w:vAlign w:val="center"/>
          </w:tcPr>
          <w:p w14:paraId="78271207">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3C3ECA99">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03C745AF">
            <w:pPr>
              <w:widowControl/>
              <w:spacing w:line="0" w:lineRule="atLeast"/>
              <w:jc w:val="center"/>
              <w:textAlignment w:val="bottom"/>
              <w:rPr>
                <w:rFonts w:cs="仿宋" w:asciiTheme="minorEastAsia" w:hAnsiTheme="minorEastAsia" w:eastAsiaTheme="minorEastAsia"/>
                <w:color w:val="000000"/>
                <w:kern w:val="0"/>
                <w:szCs w:val="21"/>
              </w:rPr>
            </w:pPr>
          </w:p>
        </w:tc>
      </w:tr>
      <w:tr w14:paraId="76EAF7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408D1D24">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15</w:t>
            </w:r>
          </w:p>
        </w:tc>
        <w:tc>
          <w:tcPr>
            <w:tcW w:w="2527" w:type="dxa"/>
            <w:tcBorders>
              <w:top w:val="single" w:color="000000" w:sz="6" w:space="0"/>
              <w:left w:val="single" w:color="000000" w:sz="6" w:space="0"/>
              <w:bottom w:val="single" w:color="000000" w:sz="6" w:space="0"/>
              <w:right w:val="single" w:color="000000" w:sz="6" w:space="0"/>
            </w:tcBorders>
            <w:vAlign w:val="center"/>
          </w:tcPr>
          <w:p w14:paraId="1D9482C6">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6138E59D">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1833FF90">
            <w:pPr>
              <w:widowControl/>
              <w:spacing w:line="0" w:lineRule="atLeast"/>
              <w:jc w:val="center"/>
              <w:textAlignment w:val="bottom"/>
              <w:rPr>
                <w:rFonts w:cs="仿宋" w:asciiTheme="minorEastAsia" w:hAnsiTheme="minorEastAsia" w:eastAsiaTheme="minorEastAsia"/>
                <w:color w:val="000000"/>
                <w:kern w:val="0"/>
                <w:szCs w:val="21"/>
              </w:rPr>
            </w:pPr>
          </w:p>
        </w:tc>
      </w:tr>
      <w:tr w14:paraId="29EC7B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223FA1FD">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16</w:t>
            </w:r>
          </w:p>
        </w:tc>
        <w:tc>
          <w:tcPr>
            <w:tcW w:w="2527" w:type="dxa"/>
            <w:tcBorders>
              <w:top w:val="single" w:color="000000" w:sz="6" w:space="0"/>
              <w:left w:val="single" w:color="000000" w:sz="6" w:space="0"/>
              <w:bottom w:val="single" w:color="000000" w:sz="6" w:space="0"/>
              <w:right w:val="single" w:color="000000" w:sz="6" w:space="0"/>
            </w:tcBorders>
            <w:vAlign w:val="center"/>
          </w:tcPr>
          <w:p w14:paraId="6FCE772D">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30B4CA6A">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4A53756A">
            <w:pPr>
              <w:widowControl/>
              <w:spacing w:line="0" w:lineRule="atLeast"/>
              <w:jc w:val="center"/>
              <w:textAlignment w:val="bottom"/>
              <w:rPr>
                <w:rFonts w:cs="仿宋" w:asciiTheme="minorEastAsia" w:hAnsiTheme="minorEastAsia" w:eastAsiaTheme="minorEastAsia"/>
                <w:color w:val="000000"/>
                <w:kern w:val="0"/>
                <w:szCs w:val="21"/>
              </w:rPr>
            </w:pPr>
          </w:p>
        </w:tc>
      </w:tr>
      <w:tr w14:paraId="094EC6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3FF3876F">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17</w:t>
            </w:r>
          </w:p>
        </w:tc>
        <w:tc>
          <w:tcPr>
            <w:tcW w:w="2527" w:type="dxa"/>
            <w:tcBorders>
              <w:top w:val="single" w:color="000000" w:sz="6" w:space="0"/>
              <w:left w:val="single" w:color="000000" w:sz="6" w:space="0"/>
              <w:bottom w:val="single" w:color="000000" w:sz="6" w:space="0"/>
              <w:right w:val="single" w:color="000000" w:sz="6" w:space="0"/>
            </w:tcBorders>
            <w:vAlign w:val="center"/>
          </w:tcPr>
          <w:p w14:paraId="7015959A">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5884C84E">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77F3538F">
            <w:pPr>
              <w:widowControl/>
              <w:spacing w:line="0" w:lineRule="atLeast"/>
              <w:jc w:val="center"/>
              <w:textAlignment w:val="bottom"/>
              <w:rPr>
                <w:rFonts w:cs="仿宋" w:asciiTheme="minorEastAsia" w:hAnsiTheme="minorEastAsia" w:eastAsiaTheme="minorEastAsia"/>
                <w:color w:val="000000"/>
                <w:kern w:val="0"/>
                <w:szCs w:val="21"/>
              </w:rPr>
            </w:pPr>
          </w:p>
        </w:tc>
      </w:tr>
      <w:tr w14:paraId="104104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3CD14BB6">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18</w:t>
            </w:r>
          </w:p>
        </w:tc>
        <w:tc>
          <w:tcPr>
            <w:tcW w:w="2527" w:type="dxa"/>
            <w:tcBorders>
              <w:top w:val="single" w:color="000000" w:sz="6" w:space="0"/>
              <w:left w:val="single" w:color="000000" w:sz="6" w:space="0"/>
              <w:bottom w:val="single" w:color="000000" w:sz="6" w:space="0"/>
              <w:right w:val="single" w:color="000000" w:sz="6" w:space="0"/>
            </w:tcBorders>
            <w:vAlign w:val="center"/>
          </w:tcPr>
          <w:p w14:paraId="1D6D24CD">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61B22029">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4B15E378">
            <w:pPr>
              <w:widowControl/>
              <w:spacing w:line="0" w:lineRule="atLeast"/>
              <w:jc w:val="center"/>
              <w:textAlignment w:val="bottom"/>
              <w:rPr>
                <w:rFonts w:cs="仿宋" w:asciiTheme="minorEastAsia" w:hAnsiTheme="minorEastAsia" w:eastAsiaTheme="minorEastAsia"/>
                <w:color w:val="000000"/>
                <w:kern w:val="0"/>
                <w:szCs w:val="21"/>
              </w:rPr>
            </w:pPr>
          </w:p>
        </w:tc>
      </w:tr>
      <w:tr w14:paraId="6773C2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5" w:type="dxa"/>
            <w:tcBorders>
              <w:top w:val="single" w:color="000000" w:sz="6" w:space="0"/>
              <w:left w:val="single" w:color="000000" w:sz="6" w:space="0"/>
              <w:bottom w:val="single" w:color="000000" w:sz="6" w:space="0"/>
              <w:right w:val="single" w:color="000000" w:sz="6" w:space="0"/>
            </w:tcBorders>
            <w:vAlign w:val="center"/>
          </w:tcPr>
          <w:p w14:paraId="67374CDC">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19</w:t>
            </w:r>
          </w:p>
        </w:tc>
        <w:tc>
          <w:tcPr>
            <w:tcW w:w="2527" w:type="dxa"/>
            <w:tcBorders>
              <w:top w:val="single" w:color="000000" w:sz="6" w:space="0"/>
              <w:left w:val="single" w:color="000000" w:sz="6" w:space="0"/>
              <w:bottom w:val="single" w:color="000000" w:sz="6" w:space="0"/>
              <w:right w:val="single" w:color="000000" w:sz="6" w:space="0"/>
            </w:tcBorders>
            <w:vAlign w:val="center"/>
          </w:tcPr>
          <w:p w14:paraId="45F5B857">
            <w:pPr>
              <w:jc w:val="center"/>
              <w:rPr>
                <w:rFonts w:cs="宋体" w:asciiTheme="minorEastAsia" w:hAnsiTheme="minorEastAsia" w:eastAsiaTheme="minorEastAsia"/>
                <w:color w:val="000000"/>
                <w:szCs w:val="21"/>
              </w:rPr>
            </w:pPr>
          </w:p>
        </w:tc>
        <w:tc>
          <w:tcPr>
            <w:tcW w:w="2825" w:type="dxa"/>
            <w:tcBorders>
              <w:top w:val="single" w:color="000000" w:sz="6" w:space="0"/>
              <w:left w:val="single" w:color="000000" w:sz="6" w:space="0"/>
              <w:bottom w:val="single" w:color="000000" w:sz="6" w:space="0"/>
              <w:right w:val="single" w:color="000000" w:sz="6" w:space="0"/>
            </w:tcBorders>
            <w:vAlign w:val="center"/>
          </w:tcPr>
          <w:p w14:paraId="160F7ED2">
            <w:pPr>
              <w:jc w:val="center"/>
              <w:rPr>
                <w:rFonts w:cs="宋体" w:asciiTheme="minorEastAsia" w:hAnsiTheme="minorEastAsia" w:eastAsiaTheme="minorEastAsia"/>
                <w:color w:val="000000"/>
                <w:szCs w:val="21"/>
              </w:rPr>
            </w:pPr>
          </w:p>
        </w:tc>
        <w:tc>
          <w:tcPr>
            <w:tcW w:w="1295" w:type="dxa"/>
            <w:vMerge w:val="continue"/>
            <w:tcBorders>
              <w:left w:val="single" w:color="000000" w:sz="6" w:space="0"/>
              <w:right w:val="single" w:color="000000" w:sz="6" w:space="0"/>
            </w:tcBorders>
            <w:vAlign w:val="center"/>
          </w:tcPr>
          <w:p w14:paraId="4B0DC41B">
            <w:pPr>
              <w:widowControl/>
              <w:spacing w:line="0" w:lineRule="atLeast"/>
              <w:jc w:val="center"/>
              <w:textAlignment w:val="bottom"/>
              <w:rPr>
                <w:rFonts w:cs="仿宋" w:asciiTheme="minorEastAsia" w:hAnsiTheme="minorEastAsia" w:eastAsiaTheme="minorEastAsia"/>
                <w:color w:val="000000"/>
                <w:kern w:val="0"/>
                <w:szCs w:val="21"/>
              </w:rPr>
            </w:pPr>
          </w:p>
        </w:tc>
      </w:tr>
    </w:tbl>
    <w:p w14:paraId="108AE670">
      <w:pPr>
        <w:spacing w:line="360" w:lineRule="auto"/>
        <w:jc w:val="center"/>
        <w:rPr>
          <w:rFonts w:ascii="宋体" w:hAnsi="宋体" w:cs="宋体"/>
          <w:sz w:val="28"/>
          <w:szCs w:val="28"/>
        </w:rPr>
      </w:pPr>
    </w:p>
    <w:p w14:paraId="496F6505">
      <w:pPr>
        <w:pStyle w:val="78"/>
        <w:spacing w:beforeLines="100" w:line="360" w:lineRule="auto"/>
        <w:ind w:firstLine="602" w:firstLineChars="200"/>
        <w:rPr>
          <w:rFonts w:ascii="宋体"/>
          <w:szCs w:val="30"/>
        </w:rPr>
      </w:pPr>
      <w:bookmarkStart w:id="52" w:name="_Toc3705"/>
      <w:r>
        <w:rPr>
          <w:rFonts w:hint="eastAsia" w:ascii="宋体"/>
          <w:szCs w:val="30"/>
        </w:rPr>
        <w:t>（三）矿山勘查开采历史及现状</w:t>
      </w:r>
      <w:bookmarkEnd w:id="46"/>
      <w:bookmarkEnd w:id="47"/>
      <w:bookmarkEnd w:id="52"/>
    </w:p>
    <w:bookmarkEnd w:id="45"/>
    <w:p w14:paraId="1D6FF77B">
      <w:pPr>
        <w:pStyle w:val="5"/>
        <w:spacing w:line="360" w:lineRule="auto"/>
        <w:ind w:firstLine="562" w:firstLineChars="200"/>
        <w:rPr>
          <w:rFonts w:ascii="宋体" w:hAnsi="宋体" w:cs="宋体"/>
          <w:sz w:val="28"/>
          <w:szCs w:val="28"/>
        </w:rPr>
      </w:pPr>
      <w:bookmarkStart w:id="53" w:name="_Toc24036"/>
      <w:bookmarkStart w:id="54" w:name="_Toc8567"/>
      <w:r>
        <w:rPr>
          <w:rFonts w:hint="eastAsia" w:ascii="宋体" w:hAnsi="宋体" w:cs="宋体"/>
          <w:sz w:val="28"/>
          <w:szCs w:val="28"/>
        </w:rPr>
        <w:t>1、</w:t>
      </w:r>
      <w:bookmarkEnd w:id="48"/>
      <w:bookmarkEnd w:id="53"/>
      <w:bookmarkEnd w:id="54"/>
      <w:r>
        <w:rPr>
          <w:rFonts w:hint="eastAsia" w:ascii="宋体" w:hAnsi="宋体" w:cs="宋体"/>
          <w:sz w:val="28"/>
          <w:szCs w:val="28"/>
        </w:rPr>
        <w:t>原采矿权取得及变更情况</w:t>
      </w:r>
    </w:p>
    <w:p w14:paraId="484D4E9B">
      <w:pPr>
        <w:tabs>
          <w:tab w:val="left" w:pos="4500"/>
          <w:tab w:val="left" w:pos="4680"/>
        </w:tabs>
        <w:spacing w:line="360" w:lineRule="auto"/>
        <w:ind w:firstLine="560" w:firstLineChars="200"/>
        <w:jc w:val="left"/>
        <w:rPr>
          <w:rFonts w:ascii="宋体" w:hAnsi="宋体" w:cs="宋体"/>
          <w:spacing w:val="1"/>
          <w:sz w:val="28"/>
          <w:szCs w:val="28"/>
        </w:rPr>
      </w:pPr>
      <w:bookmarkStart w:id="55" w:name="OLE_LINK6"/>
      <w:bookmarkStart w:id="56" w:name="_Toc252630927"/>
      <w:r>
        <w:rPr>
          <w:rFonts w:hint="eastAsia" w:ascii="宋体" w:hAnsi="宋体" w:cs="宋体"/>
          <w:sz w:val="28"/>
          <w:szCs w:val="28"/>
        </w:rPr>
        <w:t>铁岭县新世捷矿业有限公司</w:t>
      </w:r>
      <w:r>
        <w:rPr>
          <w:rFonts w:hint="eastAsia" w:ascii="宋体" w:hAnsi="宋体"/>
          <w:bCs/>
          <w:sz w:val="28"/>
          <w:szCs w:val="28"/>
        </w:rPr>
        <w:t>最近一次取得采矿许可证时间点为2018年</w:t>
      </w:r>
      <w:r>
        <w:rPr>
          <w:rFonts w:hint="eastAsia" w:ascii="宋体" w:hAnsi="宋体" w:cs="宋体"/>
          <w:sz w:val="28"/>
          <w:szCs w:val="28"/>
        </w:rPr>
        <w:t>，</w:t>
      </w:r>
      <w:r>
        <w:rPr>
          <w:rFonts w:hint="eastAsia" w:ascii="宋体" w:hAnsi="宋体"/>
          <w:bCs/>
          <w:sz w:val="28"/>
          <w:szCs w:val="28"/>
        </w:rPr>
        <w:t>采矿许可证号为C2112212009097120036985，有效期至</w:t>
      </w:r>
      <w:r>
        <w:rPr>
          <w:rFonts w:hint="eastAsia" w:ascii="宋体" w:hAnsi="宋体" w:cs="宋体"/>
          <w:sz w:val="28"/>
          <w:szCs w:val="28"/>
        </w:rPr>
        <w:t>2018年12月22日至2020年8月22日</w:t>
      </w:r>
      <w:r>
        <w:rPr>
          <w:rFonts w:hint="eastAsia" w:ascii="宋体" w:hAnsi="宋体"/>
          <w:bCs/>
          <w:sz w:val="28"/>
          <w:szCs w:val="28"/>
        </w:rPr>
        <w:t>，</w:t>
      </w:r>
      <w:r>
        <w:rPr>
          <w:rFonts w:hint="eastAsia" w:ascii="宋体" w:hAnsi="宋体" w:cs="宋体"/>
          <w:spacing w:val="1"/>
          <w:sz w:val="28"/>
          <w:szCs w:val="28"/>
        </w:rPr>
        <w:t>开采矿种为建筑用白云岩，矿区面积0.0378km²，生产规模4.0万m³/年。</w:t>
      </w:r>
    </w:p>
    <w:p w14:paraId="4486F860">
      <w:pPr>
        <w:tabs>
          <w:tab w:val="left" w:pos="4500"/>
          <w:tab w:val="left" w:pos="4680"/>
        </w:tabs>
        <w:spacing w:line="360" w:lineRule="auto"/>
        <w:ind w:firstLine="564" w:firstLineChars="200"/>
        <w:jc w:val="left"/>
        <w:rPr>
          <w:rFonts w:ascii="宋体" w:hAnsi="宋体" w:cs="宋体"/>
          <w:sz w:val="28"/>
          <w:szCs w:val="28"/>
        </w:rPr>
      </w:pPr>
      <w:r>
        <w:rPr>
          <w:rFonts w:hint="eastAsia" w:ascii="宋体" w:hAnsi="宋体" w:cs="宋体"/>
          <w:spacing w:val="1"/>
          <w:sz w:val="28"/>
          <w:szCs w:val="28"/>
        </w:rPr>
        <w:t>2023年</w:t>
      </w:r>
      <w:r>
        <w:rPr>
          <w:rFonts w:ascii="宋体" w:hAnsi="宋体" w:cs="宋体"/>
          <w:spacing w:val="1"/>
          <w:sz w:val="28"/>
          <w:szCs w:val="28"/>
        </w:rPr>
        <w:t>铁岭县自然资源局在注销</w:t>
      </w:r>
      <w:r>
        <w:rPr>
          <w:rFonts w:hint="eastAsia" w:ascii="宋体" w:hAnsi="宋体" w:cs="宋体"/>
          <w:sz w:val="28"/>
          <w:szCs w:val="28"/>
        </w:rPr>
        <w:t>铁岭县新世捷矿业有限公司矿区范围基础上设立了“铁岭县李千户镇金家沟村建筑用白云岩集中开采区”。计划2025年完成勘查后进行采矿权出让。</w:t>
      </w:r>
    </w:p>
    <w:p w14:paraId="51AFFBAC">
      <w:pPr>
        <w:pStyle w:val="5"/>
        <w:spacing w:line="360" w:lineRule="auto"/>
        <w:ind w:firstLine="562" w:firstLineChars="200"/>
        <w:rPr>
          <w:rFonts w:ascii="宋体" w:hAnsi="宋体" w:cs="宋体"/>
          <w:sz w:val="28"/>
          <w:szCs w:val="28"/>
        </w:rPr>
      </w:pPr>
      <w:r>
        <w:rPr>
          <w:rFonts w:hint="eastAsia" w:ascii="宋体" w:hAnsi="宋体" w:cs="宋体"/>
          <w:sz w:val="28"/>
          <w:szCs w:val="28"/>
        </w:rPr>
        <w:t>2、以往地质勘查工作</w:t>
      </w:r>
    </w:p>
    <w:p w14:paraId="35294FE7">
      <w:pPr>
        <w:tabs>
          <w:tab w:val="left" w:pos="4500"/>
          <w:tab w:val="left" w:pos="4680"/>
        </w:tabs>
        <w:spacing w:line="360" w:lineRule="auto"/>
        <w:ind w:firstLine="560" w:firstLineChars="200"/>
        <w:jc w:val="left"/>
        <w:rPr>
          <w:rFonts w:ascii="宋体" w:hAnsi="宋体"/>
          <w:bCs/>
          <w:sz w:val="28"/>
          <w:szCs w:val="28"/>
        </w:rPr>
      </w:pPr>
      <w:r>
        <w:rPr>
          <w:rFonts w:hint="eastAsia" w:ascii="宋体" w:hAnsi="宋体"/>
          <w:bCs/>
          <w:sz w:val="28"/>
          <w:szCs w:val="28"/>
        </w:rPr>
        <w:t>1986-1988年辽宁省地质矿产勘查局第九地质大队在此开展1/5万区域地质调查，将该区地层划归上元古界蓟县系雾迷山组石门亚组三段（Jxw</w:t>
      </w:r>
      <w:r>
        <w:rPr>
          <w:rFonts w:hint="eastAsia" w:ascii="宋体" w:hAnsi="宋体"/>
          <w:bCs/>
          <w:sz w:val="28"/>
          <w:szCs w:val="28"/>
          <w:vertAlign w:val="subscript"/>
        </w:rPr>
        <w:t>3</w:t>
      </w:r>
      <w:r>
        <w:rPr>
          <w:rFonts w:hint="eastAsia" w:ascii="宋体" w:hAnsi="宋体"/>
          <w:bCs/>
          <w:sz w:val="28"/>
          <w:szCs w:val="28"/>
          <w:vertAlign w:val="superscript"/>
        </w:rPr>
        <w:t>3</w:t>
      </w:r>
      <w:r>
        <w:rPr>
          <w:rFonts w:hint="eastAsia" w:ascii="宋体" w:hAnsi="宋体"/>
          <w:bCs/>
          <w:sz w:val="28"/>
          <w:szCs w:val="28"/>
        </w:rPr>
        <w:t>）白色石英岩状砂岩、二段（Jxw</w:t>
      </w:r>
      <w:r>
        <w:rPr>
          <w:rFonts w:hint="eastAsia" w:ascii="宋体" w:hAnsi="宋体"/>
          <w:bCs/>
          <w:sz w:val="28"/>
          <w:szCs w:val="28"/>
          <w:vertAlign w:val="subscript"/>
        </w:rPr>
        <w:t>3</w:t>
      </w:r>
      <w:r>
        <w:rPr>
          <w:rFonts w:hint="eastAsia" w:ascii="宋体" w:hAnsi="宋体"/>
          <w:bCs/>
          <w:sz w:val="28"/>
          <w:szCs w:val="28"/>
          <w:vertAlign w:val="superscript"/>
        </w:rPr>
        <w:t>2</w:t>
      </w:r>
      <w:r>
        <w:rPr>
          <w:rFonts w:hint="eastAsia" w:ascii="宋体" w:hAnsi="宋体"/>
          <w:bCs/>
          <w:sz w:val="28"/>
          <w:szCs w:val="28"/>
        </w:rPr>
        <w:t>）灰白色条带状白云岩。</w:t>
      </w:r>
    </w:p>
    <w:p w14:paraId="1F9A00A4">
      <w:pPr>
        <w:tabs>
          <w:tab w:val="left" w:pos="4500"/>
          <w:tab w:val="left" w:pos="4680"/>
        </w:tabs>
        <w:spacing w:line="360" w:lineRule="auto"/>
        <w:ind w:firstLine="560" w:firstLineChars="200"/>
        <w:jc w:val="left"/>
        <w:rPr>
          <w:rFonts w:ascii="宋体" w:hAnsi="宋体"/>
          <w:bCs/>
          <w:sz w:val="28"/>
          <w:szCs w:val="28"/>
        </w:rPr>
      </w:pPr>
      <w:r>
        <w:rPr>
          <w:rFonts w:hint="eastAsia" w:ascii="宋体" w:hAnsi="宋体"/>
          <w:bCs/>
          <w:sz w:val="28"/>
          <w:szCs w:val="28"/>
        </w:rPr>
        <w:t>2005年12月辽宁省矿产勘察院铁岭分院对该拟注销矿区地质简测。同时提交了《铁岭县李千户乡泰发采石场地质说明书和矿产资源开发利用方案》。经铁岭市国土资源局评审备案，评审备案号铁国土资储备字2005[49]号。</w:t>
      </w:r>
    </w:p>
    <w:p w14:paraId="2189D35E">
      <w:pPr>
        <w:tabs>
          <w:tab w:val="left" w:pos="4500"/>
          <w:tab w:val="left" w:pos="4680"/>
        </w:tabs>
        <w:spacing w:line="360" w:lineRule="auto"/>
        <w:ind w:firstLine="560" w:firstLineChars="200"/>
        <w:jc w:val="left"/>
        <w:rPr>
          <w:rFonts w:ascii="宋体" w:hAnsi="宋体"/>
          <w:bCs/>
          <w:sz w:val="28"/>
          <w:szCs w:val="28"/>
        </w:rPr>
      </w:pPr>
      <w:r>
        <w:rPr>
          <w:rFonts w:hint="eastAsia" w:ascii="宋体" w:hAnsi="宋体" w:cs="仿宋"/>
          <w:sz w:val="28"/>
          <w:szCs w:val="28"/>
        </w:rPr>
        <w:t>2015年3月，铁岭鑫川地质勘查工程设计有限公司</w:t>
      </w:r>
      <w:r>
        <w:rPr>
          <w:rFonts w:hint="eastAsia" w:ascii="宋体" w:hAnsi="宋体"/>
          <w:bCs/>
          <w:sz w:val="28"/>
          <w:szCs w:val="28"/>
        </w:rPr>
        <w:t>对该拟注销矿区进行储量核实工作，</w:t>
      </w:r>
      <w:r>
        <w:rPr>
          <w:rFonts w:hint="eastAsia" w:ascii="宋体" w:hAnsi="宋体" w:cs="仿宋"/>
          <w:sz w:val="28"/>
          <w:szCs w:val="28"/>
        </w:rPr>
        <w:t>提交了《辽宁省铁岭县李千户镇金家沟新世捷建筑用白云岩矿资源储量核实报告》。</w:t>
      </w:r>
    </w:p>
    <w:p w14:paraId="50F7E65F">
      <w:pPr>
        <w:spacing w:line="360" w:lineRule="auto"/>
        <w:ind w:firstLine="560" w:firstLineChars="200"/>
        <w:jc w:val="left"/>
        <w:rPr>
          <w:rFonts w:ascii="宋体" w:hAnsi="宋体"/>
          <w:bCs/>
          <w:sz w:val="28"/>
          <w:szCs w:val="28"/>
        </w:rPr>
      </w:pPr>
      <w:r>
        <w:rPr>
          <w:rFonts w:hint="eastAsia" w:ascii="宋体" w:hAnsi="宋体"/>
          <w:bCs/>
          <w:sz w:val="28"/>
          <w:szCs w:val="28"/>
        </w:rPr>
        <w:t>2018年铁岭县新世捷矿业有限公司对对该拟注销矿区进行资源储量核实工作，提交了《铁岭县新世捷矿业有限公司资源储量核实报告》，经铁岭市国土资源局评审备案，评审备案号铁国土资储备字[2018]19号。</w:t>
      </w:r>
    </w:p>
    <w:p w14:paraId="3AAA9C1C">
      <w:pPr>
        <w:spacing w:line="360" w:lineRule="auto"/>
        <w:ind w:firstLine="560" w:firstLineChars="200"/>
        <w:jc w:val="left"/>
        <w:rPr>
          <w:rFonts w:ascii="宋体" w:hAnsi="宋体" w:cs="宋体"/>
          <w:sz w:val="28"/>
          <w:szCs w:val="28"/>
        </w:rPr>
      </w:pPr>
      <w:r>
        <w:rPr>
          <w:rFonts w:hint="eastAsia" w:ascii="宋体" w:hAnsi="宋体" w:cs="宋体"/>
          <w:sz w:val="28"/>
          <w:szCs w:val="28"/>
        </w:rPr>
        <w:t>2025年3月，辽宁省第九地质大队有限责任公司对该集中开采区进行详查，编制并提交了《辽宁省铁岭县李千户镇金家沟村建筑用白云岩详查报告》，2025年4月铁岭县自然资源局对其进行了评审备案，备案号（铁县自然资储备字[2025]01号）。</w:t>
      </w:r>
    </w:p>
    <w:p w14:paraId="03A1931F">
      <w:pPr>
        <w:pStyle w:val="5"/>
        <w:spacing w:line="360" w:lineRule="auto"/>
        <w:ind w:firstLine="562" w:firstLineChars="200"/>
        <w:rPr>
          <w:rFonts w:ascii="宋体" w:hAnsi="宋体" w:cs="宋体"/>
          <w:sz w:val="28"/>
          <w:szCs w:val="28"/>
        </w:rPr>
      </w:pPr>
      <w:r>
        <w:rPr>
          <w:rFonts w:hint="eastAsia" w:ascii="宋体" w:hAnsi="宋体" w:cs="宋体"/>
          <w:sz w:val="28"/>
          <w:szCs w:val="28"/>
        </w:rPr>
        <w:t>3、矿区现状及周边环境</w:t>
      </w:r>
    </w:p>
    <w:p w14:paraId="286E2561">
      <w:pPr>
        <w:spacing w:line="360" w:lineRule="auto"/>
        <w:ind w:firstLine="560" w:firstLineChars="200"/>
        <w:jc w:val="left"/>
        <w:rPr>
          <w:rFonts w:ascii="宋体" w:hAnsi="宋体" w:cs="宋体"/>
          <w:sz w:val="28"/>
          <w:szCs w:val="28"/>
        </w:rPr>
      </w:pPr>
      <w:r>
        <w:rPr>
          <w:rFonts w:hint="eastAsia" w:ascii="宋体" w:hAnsi="宋体" w:cs="仿宋"/>
          <w:sz w:val="28"/>
          <w:szCs w:val="28"/>
        </w:rPr>
        <w:t>拟新立矿区区内</w:t>
      </w:r>
      <w:r>
        <w:rPr>
          <w:rFonts w:hint="eastAsia" w:ascii="宋体" w:hAnsi="宋体" w:cs="宋体"/>
          <w:sz w:val="28"/>
          <w:szCs w:val="28"/>
        </w:rPr>
        <w:t>除已注销的铁岭县新世捷矿业有限公司采矿权之外无其他矿权。</w:t>
      </w:r>
    </w:p>
    <w:p w14:paraId="327E60E3">
      <w:pPr>
        <w:spacing w:line="360" w:lineRule="auto"/>
        <w:ind w:firstLine="560" w:firstLineChars="200"/>
        <w:jc w:val="left"/>
        <w:rPr>
          <w:rFonts w:ascii="宋体" w:hAnsi="宋体" w:cs="仿宋"/>
          <w:sz w:val="28"/>
          <w:szCs w:val="28"/>
        </w:rPr>
      </w:pPr>
      <w:r>
        <w:rPr>
          <w:rFonts w:hint="eastAsia" w:ascii="宋体" w:hAnsi="宋体" w:cs="宋体"/>
          <w:sz w:val="28"/>
          <w:szCs w:val="28"/>
        </w:rPr>
        <w:t>铁岭县新世捷矿业有限公司矿山规模为小型，现状已经停采，开采（开拓）系统简单，主要分为开采区和加工区。开采区主要位于露天采场内，加工区位于工业场地内，内有加工厂房、电气房等建筑设施。</w:t>
      </w:r>
    </w:p>
    <w:p w14:paraId="2A50907D">
      <w:pPr>
        <w:spacing w:line="360" w:lineRule="auto"/>
        <w:ind w:firstLine="560" w:firstLineChars="200"/>
        <w:jc w:val="left"/>
        <w:rPr>
          <w:rFonts w:ascii="宋体" w:hAnsi="宋体" w:cs="宋体"/>
          <w:sz w:val="28"/>
          <w:szCs w:val="28"/>
        </w:rPr>
      </w:pPr>
      <w:r>
        <w:rPr>
          <w:rFonts w:hint="eastAsia" w:ascii="宋体" w:hAnsi="宋体" w:cs="宋体"/>
          <w:sz w:val="28"/>
          <w:szCs w:val="28"/>
        </w:rPr>
        <w:t>现状露天采场未封闭、开口南东，挖损面积约2.2hm</w:t>
      </w:r>
      <w:r>
        <w:rPr>
          <w:rFonts w:hint="eastAsia" w:ascii="宋体" w:hAnsi="宋体" w:cs="宋体"/>
          <w:sz w:val="28"/>
          <w:szCs w:val="28"/>
          <w:vertAlign w:val="superscript"/>
        </w:rPr>
        <w:t>2</w:t>
      </w:r>
      <w:r>
        <w:rPr>
          <w:rFonts w:hint="eastAsia" w:ascii="宋体" w:hAnsi="宋体" w:cs="宋体"/>
          <w:sz w:val="28"/>
          <w:szCs w:val="28"/>
        </w:rPr>
        <w:t>，北东-南西长轴约200m，北西-南东短轴约110m，采场内已形成2个开采平台，其中底部平台较大，标高177.8m至184.9m，上部平台宽5.8m至15.6m，标高193.41m至205.24m，采场最大高差约64m。露天采场边坡类型为岩石质边坡，边坡岩体基本较完整，稳定性较好，无不良地质作用发生。</w:t>
      </w:r>
    </w:p>
    <w:p w14:paraId="3DFBDF0A">
      <w:pPr>
        <w:spacing w:line="360" w:lineRule="auto"/>
        <w:ind w:firstLine="560" w:firstLineChars="200"/>
        <w:jc w:val="left"/>
        <w:rPr>
          <w:rFonts w:ascii="宋体" w:hAnsi="宋体" w:cs="宋体"/>
          <w:sz w:val="28"/>
          <w:szCs w:val="28"/>
        </w:rPr>
      </w:pPr>
      <w:r>
        <w:rPr>
          <w:rFonts w:hint="eastAsia" w:ascii="宋体" w:hAnsi="宋体" w:cs="宋体"/>
          <w:sz w:val="28"/>
          <w:szCs w:val="28"/>
        </w:rPr>
        <w:t>工业场地位于采场南东部，规模不大，占地面积约0.69hm</w:t>
      </w:r>
      <w:r>
        <w:rPr>
          <w:rFonts w:hint="eastAsia" w:ascii="宋体" w:hAnsi="宋体" w:cs="宋体"/>
          <w:sz w:val="28"/>
          <w:szCs w:val="28"/>
          <w:vertAlign w:val="superscript"/>
        </w:rPr>
        <w:t>2</w:t>
      </w:r>
      <w:r>
        <w:rPr>
          <w:rFonts w:hint="eastAsia" w:ascii="宋体" w:hAnsi="宋体" w:cs="宋体"/>
          <w:sz w:val="28"/>
          <w:szCs w:val="28"/>
        </w:rPr>
        <w:t>。场地较平坦，标高170.96m至173.54m，现状无积水，排泄条件良好，内有加工厂房及变电房建筑设施。工业场地内除留用的建筑设施用地外，其他损毁区域已治理复垦为旱地，总体上看对周边环境影响有限。</w:t>
      </w:r>
    </w:p>
    <w:p w14:paraId="1E15BA9D">
      <w:pPr>
        <w:spacing w:line="0" w:lineRule="atLeast"/>
        <w:jc w:val="center"/>
        <w:rPr>
          <w:rFonts w:ascii="宋体" w:hAnsi="宋体" w:cs="宋体"/>
          <w:sz w:val="28"/>
          <w:szCs w:val="28"/>
        </w:rPr>
      </w:pPr>
      <w:r>
        <w:rPr>
          <w:rFonts w:ascii="宋体" w:hAnsi="宋体" w:cs="宋体"/>
          <w:sz w:val="24"/>
        </w:rPr>
        <mc:AlternateContent>
          <mc:Choice Requires="wps">
            <w:drawing>
              <wp:anchor distT="0" distB="0" distL="114300" distR="114300" simplePos="0" relativeHeight="251663360" behindDoc="0" locked="0" layoutInCell="1" allowOverlap="1">
                <wp:simplePos x="0" y="0"/>
                <wp:positionH relativeFrom="column">
                  <wp:posOffset>444500</wp:posOffset>
                </wp:positionH>
                <wp:positionV relativeFrom="paragraph">
                  <wp:posOffset>3026410</wp:posOffset>
                </wp:positionV>
                <wp:extent cx="2740660" cy="264160"/>
                <wp:effectExtent l="0" t="0" r="2540" b="2540"/>
                <wp:wrapNone/>
                <wp:docPr id="1" name="文本框 13"/>
                <wp:cNvGraphicFramePr/>
                <a:graphic xmlns:a="http://schemas.openxmlformats.org/drawingml/2006/main">
                  <a:graphicData uri="http://schemas.microsoft.com/office/word/2010/wordprocessingShape">
                    <wps:wsp>
                      <wps:cNvSpPr txBox="1"/>
                      <wps:spPr>
                        <a:xfrm>
                          <a:off x="0" y="0"/>
                          <a:ext cx="2740660" cy="264160"/>
                        </a:xfrm>
                        <a:prstGeom prst="rect">
                          <a:avLst/>
                        </a:prstGeom>
                        <a:solidFill>
                          <a:srgbClr val="FFFFFF"/>
                        </a:solidFill>
                        <a:ln>
                          <a:noFill/>
                        </a:ln>
                      </wps:spPr>
                      <wps:txbx>
                        <w:txbxContent>
                          <w:p w14:paraId="02120AF6">
                            <w:pPr>
                              <w:rPr>
                                <w:szCs w:val="21"/>
                              </w:rPr>
                            </w:pPr>
                            <w:r>
                              <w:rPr>
                                <w:rFonts w:ascii="宋体" w:hAnsi="宋体" w:cs="宋体"/>
                                <w:bCs/>
                                <w:szCs w:val="21"/>
                              </w:rPr>
                              <w:t>图1-2</w:t>
                            </w:r>
                            <w:r>
                              <w:rPr>
                                <w:rFonts w:hint="eastAsia" w:ascii="宋体" w:hAnsi="宋体" w:cs="宋体"/>
                                <w:bCs/>
                                <w:szCs w:val="21"/>
                              </w:rPr>
                              <w:t xml:space="preserve">  </w:t>
                            </w:r>
                            <w:r>
                              <w:rPr>
                                <w:rFonts w:ascii="宋体" w:hAnsi="宋体" w:cs="宋体"/>
                                <w:szCs w:val="21"/>
                              </w:rPr>
                              <w:t>集中开采区内</w:t>
                            </w:r>
                            <w:r>
                              <w:rPr>
                                <w:rFonts w:ascii="宋体" w:hAnsi="宋体" w:cs="宋体"/>
                                <w:bCs/>
                                <w:szCs w:val="21"/>
                              </w:rPr>
                              <w:t>矿权位置关系示意图</w:t>
                            </w:r>
                          </w:p>
                        </w:txbxContent>
                      </wps:txbx>
                      <wps:bodyPr upright="1">
                        <a:spAutoFit/>
                      </wps:bodyPr>
                    </wps:wsp>
                  </a:graphicData>
                </a:graphic>
                <wp14:sizeRelH relativeFrom="margin">
                  <wp14:pctWidth>0</wp14:pctWidth>
                </wp14:sizeRelH>
                <wp14:sizeRelV relativeFrom="margin">
                  <wp14:pctHeight>20000</wp14:pctHeight>
                </wp14:sizeRelV>
              </wp:anchor>
            </w:drawing>
          </mc:Choice>
          <mc:Fallback>
            <w:pict>
              <v:shape id="文本框 13" o:spid="_x0000_s1026" o:spt="202" type="#_x0000_t202" style="position:absolute;left:0pt;margin-left:35pt;margin-top:238.3pt;height:20.8pt;width:215.8pt;z-index:251663360;mso-width-relative:margin;mso-height-relative:margin;mso-height-percent:200;" fillcolor="#FFFFFF" filled="t" stroked="f" coordsize="21600,21600" o:gfxdata="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zMfvA2AAAAAoBAAAPAAAAAAAAAAEAIAAAACIAAABkcnMv&#10;ZG93bnJldi54bWxQSwECFAAUAAAACACHTuJAdVapVcoBAACSAwAADgAAAAAAAAABACAAAAAnAQAA&#10;ZHJzL2Uyb0RvYy54bWxQSwUGAAAAAAYABgBZAQAAYwUAAAAA&#10;">
                <v:fill on="t" focussize="0,0"/>
                <v:stroke on="f"/>
                <v:imagedata o:title=""/>
                <o:lock v:ext="edit" aspectratio="f"/>
                <v:textbox style="mso-fit-shape-to-text:t;">
                  <w:txbxContent>
                    <w:p w14:paraId="02120AF6">
                      <w:pPr>
                        <w:rPr>
                          <w:szCs w:val="21"/>
                        </w:rPr>
                      </w:pPr>
                      <w:r>
                        <w:rPr>
                          <w:rFonts w:ascii="宋体" w:hAnsi="宋体" w:cs="宋体"/>
                          <w:bCs/>
                          <w:szCs w:val="21"/>
                        </w:rPr>
                        <w:t>图1-2</w:t>
                      </w:r>
                      <w:r>
                        <w:rPr>
                          <w:rFonts w:hint="eastAsia" w:ascii="宋体" w:hAnsi="宋体" w:cs="宋体"/>
                          <w:bCs/>
                          <w:szCs w:val="21"/>
                        </w:rPr>
                        <w:t xml:space="preserve">  </w:t>
                      </w:r>
                      <w:r>
                        <w:rPr>
                          <w:rFonts w:ascii="宋体" w:hAnsi="宋体" w:cs="宋体"/>
                          <w:szCs w:val="21"/>
                        </w:rPr>
                        <w:t>集中开采区内</w:t>
                      </w:r>
                      <w:r>
                        <w:rPr>
                          <w:rFonts w:ascii="宋体" w:hAnsi="宋体" w:cs="宋体"/>
                          <w:bCs/>
                          <w:szCs w:val="21"/>
                        </w:rPr>
                        <w:t>矿权位置关系示意图</w:t>
                      </w:r>
                    </w:p>
                  </w:txbxContent>
                </v:textbox>
              </v:shape>
            </w:pict>
          </mc:Fallback>
        </mc:AlternateContent>
      </w:r>
      <w:r>
        <w:rPr>
          <w:rFonts w:ascii="宋体" w:hAnsi="宋体" w:cs="宋体"/>
          <w:sz w:val="28"/>
          <w:szCs w:val="28"/>
        </w:rPr>
        <w:drawing>
          <wp:inline distT="0" distB="0" distL="114300" distR="114300">
            <wp:extent cx="4676775" cy="3267075"/>
            <wp:effectExtent l="19050" t="19050" r="28575" b="28575"/>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r:embed="rId13"/>
                    <a:srcRect l="551" r="4402"/>
                    <a:stretch>
                      <a:fillRect/>
                    </a:stretch>
                  </pic:blipFill>
                  <pic:spPr>
                    <a:xfrm>
                      <a:off x="0" y="0"/>
                      <a:ext cx="4676775" cy="3267075"/>
                    </a:xfrm>
                    <a:prstGeom prst="rect">
                      <a:avLst/>
                    </a:prstGeom>
                    <a:noFill/>
                    <a:ln w="3175">
                      <a:solidFill>
                        <a:schemeClr val="tx1"/>
                      </a:solidFill>
                    </a:ln>
                  </pic:spPr>
                </pic:pic>
              </a:graphicData>
            </a:graphic>
          </wp:inline>
        </w:drawing>
      </w:r>
    </w:p>
    <w:bookmarkEnd w:id="55"/>
    <w:p w14:paraId="7E9E8039">
      <w:pPr>
        <w:spacing w:line="360" w:lineRule="auto"/>
        <w:jc w:val="center"/>
        <w:outlineLvl w:val="0"/>
        <w:rPr>
          <w:rStyle w:val="48"/>
          <w:rFonts w:ascii="黑体" w:hAnsi="黑体" w:eastAsia="黑体" w:cs="黑体"/>
          <w:color w:val="auto"/>
          <w:szCs w:val="32"/>
          <w:u w:val="none"/>
        </w:rPr>
      </w:pPr>
      <w:bookmarkStart w:id="57" w:name="_Toc23228"/>
      <w:bookmarkStart w:id="58" w:name="_Toc26427"/>
      <w:bookmarkStart w:id="59" w:name="_Toc24104"/>
      <w:bookmarkStart w:id="60" w:name="_Toc11315"/>
      <w:r>
        <w:rPr>
          <w:rStyle w:val="48"/>
          <w:rFonts w:hint="eastAsia" w:ascii="黑体" w:hAnsi="黑体" w:eastAsia="黑体" w:cs="黑体"/>
          <w:color w:val="auto"/>
          <w:szCs w:val="32"/>
          <w:u w:val="none"/>
        </w:rPr>
        <w:t>二、 矿区地质与矿产资源概况</w:t>
      </w:r>
      <w:bookmarkEnd w:id="56"/>
      <w:bookmarkEnd w:id="57"/>
      <w:bookmarkEnd w:id="58"/>
      <w:bookmarkEnd w:id="59"/>
      <w:bookmarkEnd w:id="60"/>
    </w:p>
    <w:p w14:paraId="71AFAC4B">
      <w:pPr>
        <w:pStyle w:val="78"/>
        <w:spacing w:line="360" w:lineRule="auto"/>
        <w:ind w:firstLine="602" w:firstLineChars="200"/>
        <w:rPr>
          <w:rFonts w:ascii="宋体"/>
          <w:szCs w:val="30"/>
        </w:rPr>
      </w:pPr>
      <w:bookmarkStart w:id="61" w:name="_Toc15222"/>
      <w:bookmarkStart w:id="62" w:name="_Toc21015"/>
      <w:bookmarkStart w:id="63" w:name="_Toc10277"/>
      <w:bookmarkStart w:id="64" w:name="_Toc13546"/>
      <w:bookmarkStart w:id="65" w:name="_Toc252630930"/>
      <w:bookmarkStart w:id="66" w:name="_Toc327002482"/>
      <w:bookmarkStart w:id="67" w:name="_Toc342981223"/>
      <w:r>
        <w:rPr>
          <w:rFonts w:hint="eastAsia" w:ascii="宋体"/>
          <w:szCs w:val="30"/>
        </w:rPr>
        <w:t>（一）矿床地质</w:t>
      </w:r>
      <w:bookmarkEnd w:id="61"/>
      <w:r>
        <w:rPr>
          <w:rFonts w:hint="eastAsia" w:ascii="宋体"/>
          <w:szCs w:val="30"/>
        </w:rPr>
        <w:t>与矿体特征</w:t>
      </w:r>
      <w:bookmarkEnd w:id="62"/>
      <w:bookmarkEnd w:id="63"/>
      <w:bookmarkEnd w:id="64"/>
    </w:p>
    <w:p w14:paraId="3AFD9A61">
      <w:pPr>
        <w:pStyle w:val="5"/>
        <w:spacing w:line="360" w:lineRule="auto"/>
        <w:ind w:firstLine="562" w:firstLineChars="200"/>
        <w:rPr>
          <w:rFonts w:ascii="宋体" w:hAnsi="宋体" w:cs="宋体"/>
          <w:sz w:val="28"/>
          <w:szCs w:val="28"/>
        </w:rPr>
      </w:pPr>
      <w:bookmarkStart w:id="68" w:name="_Toc20701"/>
      <w:bookmarkStart w:id="69" w:name="_Toc4732"/>
      <w:r>
        <w:rPr>
          <w:rFonts w:hint="eastAsia" w:ascii="宋体" w:hAnsi="宋体" w:cs="宋体"/>
          <w:sz w:val="28"/>
          <w:szCs w:val="28"/>
        </w:rPr>
        <w:t>1、区域地质特征</w:t>
      </w:r>
      <w:bookmarkEnd w:id="68"/>
      <w:bookmarkEnd w:id="69"/>
    </w:p>
    <w:p w14:paraId="3626DAE4">
      <w:pPr>
        <w:spacing w:line="360" w:lineRule="auto"/>
        <w:ind w:firstLine="560" w:firstLineChars="200"/>
        <w:jc w:val="left"/>
        <w:rPr>
          <w:rFonts w:ascii="宋体" w:hAnsi="宋体" w:cs="宋体"/>
          <w:sz w:val="28"/>
          <w:szCs w:val="28"/>
        </w:rPr>
      </w:pPr>
      <w:bookmarkStart w:id="70" w:name="_Toc19008"/>
      <w:bookmarkStart w:id="71" w:name="_Toc19860"/>
      <w:bookmarkStart w:id="72" w:name="_Toc17705"/>
      <w:r>
        <w:rPr>
          <w:rFonts w:hint="eastAsia" w:ascii="宋体" w:hAnsi="宋体" w:cs="宋体"/>
          <w:sz w:val="28"/>
          <w:szCs w:val="28"/>
        </w:rPr>
        <w:t>本区位于柴达木-华北板块-龙岗隆起之汎河中新元古代裂陷盆地南缘构造单元内。中元古代-太古代基底发生活化，形成了汎河坳陷，并于其内先后沉积了一套海相火山—沉积岩系。</w:t>
      </w:r>
    </w:p>
    <w:p w14:paraId="6FB538D5">
      <w:pPr>
        <w:spacing w:line="360" w:lineRule="auto"/>
        <w:ind w:firstLine="560" w:firstLineChars="200"/>
        <w:jc w:val="left"/>
        <w:rPr>
          <w:rFonts w:ascii="宋体" w:hAnsi="宋体" w:cs="宋体"/>
          <w:sz w:val="28"/>
          <w:szCs w:val="28"/>
        </w:rPr>
      </w:pPr>
      <w:r>
        <w:rPr>
          <w:rFonts w:hint="eastAsia" w:ascii="宋体" w:hAnsi="宋体" w:cs="宋体"/>
          <w:sz w:val="28"/>
          <w:szCs w:val="28"/>
        </w:rPr>
        <w:t>区域地层自下而上主要为长城系三岔子群大迫山组（Pt</w:t>
      </w:r>
      <w:r>
        <w:rPr>
          <w:rFonts w:hint="eastAsia" w:ascii="宋体" w:hAnsi="宋体" w:cs="宋体"/>
          <w:sz w:val="28"/>
          <w:szCs w:val="28"/>
          <w:vertAlign w:val="subscript"/>
        </w:rPr>
        <w:t>2</w:t>
      </w:r>
      <w:r>
        <w:rPr>
          <w:rFonts w:hint="eastAsia" w:ascii="宋体" w:hAnsi="宋体" w:cs="宋体"/>
          <w:sz w:val="28"/>
          <w:szCs w:val="28"/>
        </w:rPr>
        <w:t>dp）、康庄组（Pt</w:t>
      </w:r>
      <w:r>
        <w:rPr>
          <w:rFonts w:hint="eastAsia" w:ascii="宋体" w:hAnsi="宋体" w:cs="宋体"/>
          <w:sz w:val="28"/>
          <w:szCs w:val="28"/>
          <w:vertAlign w:val="subscript"/>
        </w:rPr>
        <w:t>2</w:t>
      </w:r>
      <w:r>
        <w:rPr>
          <w:rFonts w:hint="eastAsia" w:ascii="宋体" w:hAnsi="宋体" w:cs="宋体"/>
          <w:sz w:val="28"/>
          <w:szCs w:val="28"/>
        </w:rPr>
        <w:t>k）；蓟县系佟家街组（</w:t>
      </w:r>
      <w:r>
        <w:rPr>
          <w:rFonts w:ascii="宋体" w:hAnsi="宋体" w:cs="宋体"/>
          <w:sz w:val="28"/>
          <w:szCs w:val="28"/>
        </w:rPr>
        <w:t>Pt</w:t>
      </w:r>
      <w:r>
        <w:rPr>
          <w:rFonts w:ascii="宋体" w:hAnsi="宋体" w:cs="宋体"/>
          <w:sz w:val="28"/>
          <w:szCs w:val="28"/>
          <w:vertAlign w:val="subscript"/>
        </w:rPr>
        <w:t>2</w:t>
      </w:r>
      <w:r>
        <w:rPr>
          <w:rFonts w:ascii="宋体" w:hAnsi="宋体" w:cs="宋体"/>
          <w:sz w:val="28"/>
          <w:szCs w:val="28"/>
        </w:rPr>
        <w:t>tj</w:t>
      </w:r>
      <w:r>
        <w:rPr>
          <w:rFonts w:hint="eastAsia" w:ascii="宋体" w:hAnsi="宋体" w:cs="宋体"/>
          <w:sz w:val="28"/>
          <w:szCs w:val="28"/>
        </w:rPr>
        <w:t>）、虎头岭组（</w:t>
      </w:r>
      <w:r>
        <w:rPr>
          <w:rFonts w:ascii="宋体" w:hAnsi="宋体" w:cs="宋体"/>
          <w:sz w:val="28"/>
          <w:szCs w:val="28"/>
        </w:rPr>
        <w:t>Pt</w:t>
      </w:r>
      <w:r>
        <w:rPr>
          <w:rFonts w:ascii="宋体" w:hAnsi="宋体" w:cs="宋体"/>
          <w:sz w:val="28"/>
          <w:szCs w:val="28"/>
          <w:vertAlign w:val="subscript"/>
        </w:rPr>
        <w:t>2</w:t>
      </w:r>
      <w:r>
        <w:rPr>
          <w:rFonts w:ascii="宋体" w:hAnsi="宋体" w:cs="宋体"/>
          <w:sz w:val="28"/>
          <w:szCs w:val="28"/>
        </w:rPr>
        <w:t>h</w:t>
      </w:r>
      <w:r>
        <w:rPr>
          <w:rFonts w:hint="eastAsia" w:ascii="宋体" w:hAnsi="宋体" w:cs="宋体"/>
          <w:sz w:val="28"/>
          <w:szCs w:val="28"/>
        </w:rPr>
        <w:t>）、二道沟组（</w:t>
      </w:r>
      <w:r>
        <w:rPr>
          <w:rFonts w:ascii="宋体" w:hAnsi="宋体" w:cs="宋体"/>
          <w:sz w:val="28"/>
          <w:szCs w:val="28"/>
        </w:rPr>
        <w:t>Pt</w:t>
      </w:r>
      <w:r>
        <w:rPr>
          <w:rFonts w:ascii="宋体" w:hAnsi="宋体" w:cs="宋体"/>
          <w:sz w:val="28"/>
          <w:szCs w:val="28"/>
          <w:vertAlign w:val="subscript"/>
        </w:rPr>
        <w:t>2</w:t>
      </w:r>
      <w:r>
        <w:rPr>
          <w:rFonts w:ascii="宋体" w:hAnsi="宋体" w:cs="宋体"/>
          <w:sz w:val="28"/>
          <w:szCs w:val="28"/>
        </w:rPr>
        <w:t>e</w:t>
      </w:r>
      <w:r>
        <w:rPr>
          <w:rFonts w:hint="eastAsia" w:ascii="宋体" w:hAnsi="宋体" w:cs="宋体"/>
          <w:sz w:val="28"/>
          <w:szCs w:val="28"/>
        </w:rPr>
        <w:t>）、石门组（</w:t>
      </w:r>
      <w:r>
        <w:rPr>
          <w:rFonts w:ascii="宋体" w:hAnsi="宋体" w:cs="宋体"/>
          <w:sz w:val="28"/>
          <w:szCs w:val="28"/>
        </w:rPr>
        <w:t>Pt</w:t>
      </w:r>
      <w:r>
        <w:rPr>
          <w:rFonts w:ascii="宋体" w:hAnsi="宋体" w:cs="宋体"/>
          <w:sz w:val="28"/>
          <w:szCs w:val="28"/>
          <w:vertAlign w:val="subscript"/>
        </w:rPr>
        <w:t>2</w:t>
      </w:r>
      <w:r>
        <w:rPr>
          <w:rFonts w:hint="eastAsia" w:ascii="MS Mincho" w:hAnsi="MS Mincho" w:eastAsia="MS Mincho" w:cs="MS Mincho"/>
          <w:sz w:val="28"/>
          <w:szCs w:val="28"/>
        </w:rPr>
        <w:t>ŝ</w:t>
      </w:r>
      <w:r>
        <w:rPr>
          <w:rFonts w:hint="eastAsia" w:ascii="宋体" w:hAnsi="宋体" w:cs="宋体"/>
          <w:sz w:val="28"/>
          <w:szCs w:val="28"/>
        </w:rPr>
        <w:t>）、宋家沟组（</w:t>
      </w:r>
      <w:r>
        <w:rPr>
          <w:rFonts w:ascii="宋体" w:hAnsi="宋体" w:cs="宋体"/>
          <w:sz w:val="28"/>
          <w:szCs w:val="28"/>
        </w:rPr>
        <w:t>Pt</w:t>
      </w:r>
      <w:r>
        <w:rPr>
          <w:rFonts w:ascii="宋体" w:hAnsi="宋体" w:cs="宋体"/>
          <w:sz w:val="28"/>
          <w:szCs w:val="28"/>
          <w:vertAlign w:val="subscript"/>
        </w:rPr>
        <w:t>2</w:t>
      </w:r>
      <w:r>
        <w:rPr>
          <w:rFonts w:ascii="宋体" w:hAnsi="宋体" w:cs="宋体"/>
          <w:sz w:val="28"/>
          <w:szCs w:val="28"/>
        </w:rPr>
        <w:t>s</w:t>
      </w:r>
      <w:r>
        <w:rPr>
          <w:rFonts w:hint="eastAsia" w:ascii="宋体" w:hAnsi="宋体" w:cs="宋体"/>
          <w:sz w:val="28"/>
          <w:szCs w:val="28"/>
        </w:rPr>
        <w:t>）、杨士屯组（</w:t>
      </w:r>
      <w:r>
        <w:rPr>
          <w:rFonts w:ascii="宋体" w:hAnsi="宋体" w:cs="宋体"/>
          <w:sz w:val="28"/>
          <w:szCs w:val="28"/>
        </w:rPr>
        <w:t>Pt</w:t>
      </w:r>
      <w:r>
        <w:rPr>
          <w:rFonts w:ascii="宋体" w:hAnsi="宋体" w:cs="宋体"/>
          <w:sz w:val="28"/>
          <w:szCs w:val="28"/>
          <w:vertAlign w:val="subscript"/>
        </w:rPr>
        <w:t>2</w:t>
      </w:r>
      <w:r>
        <w:rPr>
          <w:rFonts w:ascii="宋体" w:hAnsi="宋体" w:cs="宋体"/>
          <w:sz w:val="28"/>
          <w:szCs w:val="28"/>
        </w:rPr>
        <w:t>ys</w:t>
      </w:r>
      <w:r>
        <w:rPr>
          <w:rFonts w:hint="eastAsia" w:ascii="宋体" w:hAnsi="宋体" w:cs="宋体"/>
          <w:sz w:val="28"/>
          <w:szCs w:val="28"/>
        </w:rPr>
        <w:t>）、青白口系于北沟组（Pt</w:t>
      </w:r>
      <w:r>
        <w:rPr>
          <w:rFonts w:hint="eastAsia" w:ascii="宋体" w:hAnsi="宋体" w:cs="宋体"/>
          <w:sz w:val="28"/>
          <w:szCs w:val="28"/>
          <w:vertAlign w:val="subscript"/>
        </w:rPr>
        <w:t>2</w:t>
      </w:r>
      <w:r>
        <w:rPr>
          <w:rFonts w:hint="eastAsia" w:ascii="宋体" w:hAnsi="宋体" w:cs="宋体"/>
          <w:sz w:val="28"/>
          <w:szCs w:val="28"/>
        </w:rPr>
        <w:t>yb）、腰未台冲组（Pt</w:t>
      </w:r>
      <w:r>
        <w:rPr>
          <w:rFonts w:hint="eastAsia" w:ascii="宋体" w:hAnsi="宋体" w:cs="宋体"/>
          <w:sz w:val="28"/>
          <w:szCs w:val="28"/>
          <w:vertAlign w:val="subscript"/>
        </w:rPr>
        <w:t>2</w:t>
      </w:r>
      <w:r>
        <w:rPr>
          <w:rFonts w:hint="eastAsia" w:ascii="宋体" w:hAnsi="宋体" w:cs="宋体"/>
          <w:sz w:val="28"/>
          <w:szCs w:val="28"/>
        </w:rPr>
        <w:t>yb）等。本区矿体则赋存于该时期形成的蓟县系树芽屯群石门组（Pt</w:t>
      </w:r>
      <w:r>
        <w:rPr>
          <w:rFonts w:hint="eastAsia" w:ascii="宋体" w:hAnsi="宋体" w:cs="宋体"/>
          <w:sz w:val="28"/>
          <w:szCs w:val="28"/>
          <w:vertAlign w:val="subscript"/>
        </w:rPr>
        <w:t>2</w:t>
      </w:r>
      <w:r>
        <w:rPr>
          <w:rFonts w:ascii="宋体" w:hAnsi="宋体" w:cs="宋体"/>
          <w:sz w:val="28"/>
          <w:szCs w:val="28"/>
        </w:rPr>
        <w:t>ŝ</w:t>
      </w:r>
      <w:r>
        <w:rPr>
          <w:rFonts w:hint="eastAsia" w:ascii="宋体" w:hAnsi="宋体" w:cs="宋体"/>
          <w:sz w:val="28"/>
          <w:szCs w:val="28"/>
        </w:rPr>
        <w:t>）二段和三段中。石门组二段为砂屑细晶白云岩，石门组三段为石英砂岩。</w:t>
      </w:r>
    </w:p>
    <w:p w14:paraId="05BEEBA9">
      <w:pPr>
        <w:spacing w:line="360" w:lineRule="auto"/>
        <w:jc w:val="center"/>
        <w:rPr>
          <w:rFonts w:ascii="仿宋" w:hAnsi="仿宋" w:eastAsia="仿宋" w:cs="仿宋"/>
        </w:rPr>
      </w:pPr>
      <w:r>
        <w:rPr>
          <w:rFonts w:ascii="宋体" w:hAnsi="宋体" w:cs="宋体"/>
          <w:b/>
          <w:bCs/>
          <w:spacing w:val="-7"/>
          <w:sz w:val="24"/>
        </w:rPr>
        <mc:AlternateContent>
          <mc:Choice Requires="wps">
            <w:drawing>
              <wp:anchor distT="0" distB="0" distL="114300" distR="114300" simplePos="0" relativeHeight="251660288" behindDoc="0" locked="0" layoutInCell="1" allowOverlap="1">
                <wp:simplePos x="0" y="0"/>
                <wp:positionH relativeFrom="column">
                  <wp:posOffset>3975100</wp:posOffset>
                </wp:positionH>
                <wp:positionV relativeFrom="paragraph">
                  <wp:posOffset>986790</wp:posOffset>
                </wp:positionV>
                <wp:extent cx="862965" cy="276225"/>
                <wp:effectExtent l="0" t="0" r="0" b="0"/>
                <wp:wrapNone/>
                <wp:docPr id="19" name="文本框 1196"/>
                <wp:cNvGraphicFramePr/>
                <a:graphic xmlns:a="http://schemas.openxmlformats.org/drawingml/2006/main">
                  <a:graphicData uri="http://schemas.microsoft.com/office/word/2010/wordprocessingShape">
                    <wps:wsp>
                      <wps:cNvSpPr txBox="1"/>
                      <wps:spPr>
                        <a:xfrm>
                          <a:off x="0" y="0"/>
                          <a:ext cx="1571625" cy="276225"/>
                        </a:xfrm>
                        <a:prstGeom prst="rect">
                          <a:avLst/>
                        </a:prstGeom>
                        <a:noFill/>
                        <a:ln>
                          <a:noFill/>
                        </a:ln>
                        <a:effectLst/>
                      </wps:spPr>
                      <wps:txbx>
                        <w:txbxContent>
                          <w:p w14:paraId="28CA690A">
                            <w:pPr>
                              <w:rPr>
                                <w:b/>
                                <w:bCs/>
                                <w:sz w:val="24"/>
                              </w:rPr>
                            </w:pPr>
                            <w:r>
                              <w:rPr>
                                <w:rFonts w:hint="eastAsia"/>
                                <w:b/>
                                <w:bCs/>
                                <w:sz w:val="24"/>
                              </w:rPr>
                              <w:t>矿区位置</w:t>
                            </w:r>
                          </w:p>
                        </w:txbxContent>
                      </wps:txbx>
                      <wps:bodyPr wrap="square" upright="1"/>
                    </wps:wsp>
                  </a:graphicData>
                </a:graphic>
              </wp:anchor>
            </w:drawing>
          </mc:Choice>
          <mc:Fallback>
            <w:pict>
              <v:shape id="文本框 1196" o:spid="_x0000_s1026" o:spt="202" type="#_x0000_t202" style="position:absolute;left:0pt;margin-left:313pt;margin-top:77.7pt;height:21.75pt;width:67.95pt;z-index:251660288;mso-width-relative:page;mso-height-relative:page;" filled="f" stroked="f" coordsize="21600,21600" o:gfxdata="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WIEu3YAAAACwEAAA8AAAAAAAAAAQAgAAAAIgAAAGRycy9kb3ducmV2LnhtbFBL&#10;AQIUABQAAAAIAIdO4kBM1bPRvQEAAG4DAAAOAAAAAAAAAAEAIAAAACcBAABkcnMvZTJvRG9jLnht&#10;bFBLBQYAAAAABgAGAFkBAABWBQAAAAA=&#10;">
                <v:fill on="f" focussize="0,0"/>
                <v:stroke on="f"/>
                <v:imagedata o:title=""/>
                <o:lock v:ext="edit" aspectratio="f"/>
                <v:textbox>
                  <w:txbxContent>
                    <w:p w14:paraId="28CA690A">
                      <w:pPr>
                        <w:rPr>
                          <w:b/>
                          <w:bCs/>
                          <w:sz w:val="24"/>
                        </w:rPr>
                      </w:pPr>
                      <w:r>
                        <w:rPr>
                          <w:rFonts w:hint="eastAsia"/>
                          <w:b/>
                          <w:bCs/>
                          <w:sz w:val="24"/>
                        </w:rPr>
                        <w:t>矿区位置</w:t>
                      </w:r>
                    </w:p>
                  </w:txbxContent>
                </v:textbox>
              </v:shape>
            </w:pict>
          </mc:Fallback>
        </mc:AlternateContent>
      </w:r>
      <w:r>
        <w:rPr>
          <w:rFonts w:ascii="仿宋" w:hAnsi="仿宋" w:eastAsia="仿宋" w:cs="仿宋"/>
        </w:rPr>
        <mc:AlternateContent>
          <mc:Choice Requires="wps">
            <w:drawing>
              <wp:anchor distT="0" distB="0" distL="114300" distR="114300" simplePos="0" relativeHeight="251659264" behindDoc="0" locked="0" layoutInCell="1" allowOverlap="1">
                <wp:simplePos x="0" y="0"/>
                <wp:positionH relativeFrom="column">
                  <wp:posOffset>3617595</wp:posOffset>
                </wp:positionH>
                <wp:positionV relativeFrom="paragraph">
                  <wp:posOffset>1256030</wp:posOffset>
                </wp:positionV>
                <wp:extent cx="161925" cy="161925"/>
                <wp:effectExtent l="4445" t="4445" r="5080" b="5080"/>
                <wp:wrapNone/>
                <wp:docPr id="50" name="椭圆 1198"/>
                <wp:cNvGraphicFramePr/>
                <a:graphic xmlns:a="http://schemas.openxmlformats.org/drawingml/2006/main">
                  <a:graphicData uri="http://schemas.microsoft.com/office/word/2010/wordprocessingShape">
                    <wps:wsp>
                      <wps:cNvSpPr/>
                      <wps:spPr>
                        <a:xfrm>
                          <a:off x="0" y="0"/>
                          <a:ext cx="161925" cy="161925"/>
                        </a:xfrm>
                        <a:prstGeom prst="ellipse">
                          <a:avLst/>
                        </a:prstGeom>
                        <a:solidFill>
                          <a:srgbClr val="FF0000"/>
                        </a:solidFill>
                        <a:ln w="9525" cap="flat" cmpd="sng">
                          <a:solidFill>
                            <a:srgbClr val="000000"/>
                          </a:solidFill>
                          <a:prstDash val="solid"/>
                          <a:headEnd type="none" w="med" len="med"/>
                          <a:tailEnd type="none" w="med" len="med"/>
                        </a:ln>
                        <a:effectLst/>
                      </wps:spPr>
                      <wps:bodyPr wrap="square" upright="1"/>
                    </wps:wsp>
                  </a:graphicData>
                </a:graphic>
              </wp:anchor>
            </w:drawing>
          </mc:Choice>
          <mc:Fallback>
            <w:pict>
              <v:shape id="椭圆 1198" o:spid="_x0000_s1026" o:spt="3" type="#_x0000_t3" style="position:absolute;left:0pt;margin-left:284.85pt;margin-top:98.9pt;height:12.75pt;width:12.75pt;z-index:251659264;mso-width-relative:page;mso-height-relative:page;" fillcolor="#FF0000" filled="t" stroked="t" coordsize="21600,21600" o:gfxdata="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qIUpPaAAAACwEAAA8AAAAAAAAAAQAgAAAAIgAA&#10;AGRycy9kb3ducmV2LnhtbFBLAQIUABQAAAAIAIdO4kDPnrbpBgIAADYEAAAOAAAAAAAAAAEAIAAA&#10;ACkBAABkcnMvZTJvRG9jLnhtbFBLBQYAAAAABgAGAFkBAAChBQAAAAA=&#10;">
                <v:fill on="t" focussize="0,0"/>
                <v:stroke color="#000000" joinstyle="round"/>
                <v:imagedata o:title=""/>
                <o:lock v:ext="edit" aspectratio="f"/>
              </v:shape>
            </w:pict>
          </mc:Fallback>
        </mc:AlternateContent>
      </w:r>
      <w:r>
        <w:rPr>
          <w:rFonts w:ascii="仿宋" w:hAnsi="仿宋" w:eastAsia="仿宋" w:cs="仿宋"/>
        </w:rPr>
        <w:drawing>
          <wp:inline distT="0" distB="0" distL="114300" distR="114300">
            <wp:extent cx="4591050" cy="4219575"/>
            <wp:effectExtent l="0" t="0" r="11430" b="1905"/>
            <wp:docPr id="29" name="图片 26" descr="辽宁省地质志-构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6" descr="辽宁省地质志-构造图"/>
                    <pic:cNvPicPr>
                      <a:picLocks noChangeAspect="1"/>
                    </pic:cNvPicPr>
                  </pic:nvPicPr>
                  <pic:blipFill>
                    <a:blip r:embed="rId14"/>
                    <a:srcRect l="1587" t="1932" r="5331" b="1617"/>
                    <a:stretch>
                      <a:fillRect/>
                    </a:stretch>
                  </pic:blipFill>
                  <pic:spPr>
                    <a:xfrm>
                      <a:off x="0" y="0"/>
                      <a:ext cx="4591050" cy="4219575"/>
                    </a:xfrm>
                    <a:prstGeom prst="rect">
                      <a:avLst/>
                    </a:prstGeom>
                    <a:noFill/>
                    <a:ln>
                      <a:noFill/>
                    </a:ln>
                  </pic:spPr>
                </pic:pic>
              </a:graphicData>
            </a:graphic>
          </wp:inline>
        </w:drawing>
      </w:r>
    </w:p>
    <w:p w14:paraId="27BEDDB8">
      <w:pPr>
        <w:adjustRightInd w:val="0"/>
        <w:snapToGrid w:val="0"/>
        <w:spacing w:line="360" w:lineRule="auto"/>
        <w:jc w:val="center"/>
        <w:rPr>
          <w:rFonts w:ascii="宋体" w:hAnsi="宋体" w:cs="宋体"/>
          <w:b/>
          <w:bCs/>
          <w:spacing w:val="-7"/>
          <w:sz w:val="24"/>
        </w:rPr>
      </w:pPr>
      <w:r>
        <w:rPr>
          <w:rFonts w:hint="eastAsia" w:ascii="宋体" w:hAnsi="宋体" w:cs="宋体"/>
          <w:b/>
          <w:bCs/>
          <w:spacing w:val="-7"/>
          <w:sz w:val="24"/>
        </w:rPr>
        <w:t>图2-1  区域地质构造位置</w:t>
      </w:r>
    </w:p>
    <w:p w14:paraId="418A586F">
      <w:pPr>
        <w:spacing w:line="360" w:lineRule="auto"/>
        <w:ind w:firstLine="560" w:firstLineChars="200"/>
        <w:rPr>
          <w:rFonts w:ascii="宋体" w:hAnsi="宋体" w:cs="宋体"/>
          <w:bCs/>
          <w:sz w:val="28"/>
          <w:szCs w:val="28"/>
        </w:rPr>
      </w:pPr>
      <w:r>
        <w:rPr>
          <w:rFonts w:hint="eastAsia" w:ascii="宋体" w:hAnsi="宋体" w:cs="宋体"/>
          <w:sz w:val="28"/>
          <w:szCs w:val="28"/>
        </w:rPr>
        <w:t>区域断裂较发育，受依兰-伊通断裂及柴河环形构造影响，区域北东向构造发育，少数北西向断裂，北东向断裂控制本区建筑用白云岩的空间展布形态。</w:t>
      </w:r>
    </w:p>
    <w:p w14:paraId="2B1CC282">
      <w:pPr>
        <w:pStyle w:val="5"/>
        <w:spacing w:line="360" w:lineRule="auto"/>
        <w:ind w:firstLine="562" w:firstLineChars="200"/>
        <w:rPr>
          <w:rFonts w:ascii="宋体" w:hAnsi="宋体" w:cs="宋体"/>
          <w:sz w:val="28"/>
          <w:szCs w:val="28"/>
        </w:rPr>
      </w:pPr>
      <w:r>
        <w:rPr>
          <w:rFonts w:hint="eastAsia" w:ascii="宋体" w:hAnsi="宋体" w:cs="宋体"/>
          <w:sz w:val="28"/>
          <w:szCs w:val="28"/>
        </w:rPr>
        <w:t>2、矿区地质</w:t>
      </w:r>
      <w:bookmarkEnd w:id="70"/>
      <w:bookmarkEnd w:id="71"/>
      <w:bookmarkEnd w:id="72"/>
      <w:bookmarkStart w:id="73" w:name="_Toc251588757"/>
      <w:bookmarkStart w:id="74" w:name="_Toc748"/>
      <w:bookmarkStart w:id="75" w:name="_Toc251588765"/>
      <w:bookmarkStart w:id="76" w:name="_Toc166228817"/>
      <w:bookmarkStart w:id="77" w:name="_Toc28182"/>
      <w:bookmarkStart w:id="78" w:name="_Toc523653238"/>
      <w:bookmarkStart w:id="79" w:name="_Toc4835"/>
    </w:p>
    <w:bookmarkEnd w:id="73"/>
    <w:bookmarkEnd w:id="74"/>
    <w:bookmarkEnd w:id="75"/>
    <w:bookmarkEnd w:id="76"/>
    <w:bookmarkEnd w:id="77"/>
    <w:bookmarkEnd w:id="78"/>
    <w:p w14:paraId="14A02BA7">
      <w:pPr>
        <w:spacing w:line="360" w:lineRule="auto"/>
        <w:ind w:firstLine="560" w:firstLineChars="200"/>
        <w:rPr>
          <w:rFonts w:ascii="宋体" w:hAnsi="宋体" w:cs="宋体"/>
          <w:sz w:val="28"/>
          <w:szCs w:val="28"/>
        </w:rPr>
      </w:pPr>
      <w:bookmarkStart w:id="80" w:name="_Toc312823480"/>
      <w:bookmarkStart w:id="81" w:name="_Toc312745590"/>
      <w:bookmarkStart w:id="82" w:name="_Toc251683765"/>
      <w:bookmarkStart w:id="83" w:name="_Toc371602950"/>
      <w:bookmarkStart w:id="84" w:name="_Toc311570237"/>
      <w:bookmarkStart w:id="85" w:name="_Toc312847625"/>
      <w:bookmarkStart w:id="86" w:name="_Toc312746172"/>
      <w:bookmarkStart w:id="87" w:name="_Toc4343"/>
      <w:bookmarkStart w:id="88" w:name="_Toc12834"/>
      <w:bookmarkStart w:id="89" w:name="_Toc3956"/>
      <w:bookmarkStart w:id="90" w:name="_Toc523653241"/>
      <w:bookmarkStart w:id="91" w:name="_Toc13316"/>
      <w:bookmarkStart w:id="92" w:name="_Toc251588766"/>
      <w:bookmarkStart w:id="93" w:name="_Toc9702"/>
      <w:r>
        <w:rPr>
          <w:rFonts w:hint="eastAsia" w:ascii="宋体" w:hAnsi="宋体" w:cs="宋体"/>
          <w:sz w:val="28"/>
          <w:szCs w:val="28"/>
        </w:rPr>
        <w:t>本区地层自下而上依次为蓟县系树芽屯群石门组（</w:t>
      </w:r>
      <w:r>
        <w:rPr>
          <w:rFonts w:ascii="宋体" w:hAnsi="宋体" w:cs="宋体"/>
          <w:sz w:val="28"/>
          <w:szCs w:val="28"/>
        </w:rPr>
        <w:t>Pt</w:t>
      </w:r>
      <w:r>
        <w:rPr>
          <w:rFonts w:ascii="宋体" w:hAnsi="宋体" w:cs="宋体"/>
          <w:sz w:val="28"/>
          <w:szCs w:val="28"/>
          <w:vertAlign w:val="subscript"/>
        </w:rPr>
        <w:t>2</w:t>
      </w:r>
      <w:r>
        <w:rPr>
          <w:rFonts w:ascii="宋体" w:hAnsi="宋体" w:cs="宋体"/>
          <w:sz w:val="28"/>
          <w:szCs w:val="28"/>
          <w:vertAlign w:val="superscript"/>
        </w:rPr>
        <w:t>2</w:t>
      </w:r>
      <w:r>
        <w:rPr>
          <w:rFonts w:hint="eastAsia" w:ascii="MS Mincho" w:hAnsi="MS Mincho" w:eastAsia="MS Mincho" w:cs="MS Mincho"/>
          <w:sz w:val="28"/>
          <w:szCs w:val="28"/>
        </w:rPr>
        <w:t>ŝ</w:t>
      </w:r>
      <w:r>
        <w:rPr>
          <w:rFonts w:hint="eastAsia" w:ascii="宋体" w:hAnsi="宋体" w:cs="宋体"/>
          <w:sz w:val="28"/>
          <w:szCs w:val="28"/>
        </w:rPr>
        <w:t>）二段和三段、第四系洪冲积（</w:t>
      </w:r>
      <w:r>
        <w:rPr>
          <w:rFonts w:ascii="宋体" w:hAnsi="宋体" w:cs="宋体"/>
          <w:sz w:val="28"/>
          <w:szCs w:val="28"/>
        </w:rPr>
        <w:t>Q</w:t>
      </w:r>
      <w:r>
        <w:rPr>
          <w:rFonts w:ascii="宋体" w:hAnsi="宋体" w:cs="宋体"/>
          <w:sz w:val="28"/>
          <w:szCs w:val="28"/>
          <w:vertAlign w:val="subscript"/>
        </w:rPr>
        <w:t>4</w:t>
      </w:r>
      <w:r>
        <w:rPr>
          <w:rFonts w:ascii="宋体" w:hAnsi="宋体" w:cs="宋体"/>
          <w:sz w:val="28"/>
          <w:szCs w:val="28"/>
          <w:vertAlign w:val="superscript"/>
        </w:rPr>
        <w:t>l</w:t>
      </w:r>
      <w:r>
        <w:rPr>
          <w:rFonts w:ascii="宋体" w:hAnsi="宋体" w:cs="宋体"/>
          <w:sz w:val="28"/>
          <w:szCs w:val="28"/>
        </w:rPr>
        <w:t>apl</w:t>
      </w:r>
      <w:r>
        <w:rPr>
          <w:rFonts w:hint="eastAsia" w:ascii="宋体" w:hAnsi="宋体" w:cs="宋体"/>
          <w:sz w:val="28"/>
          <w:szCs w:val="28"/>
        </w:rPr>
        <w:t>）。</w:t>
      </w:r>
    </w:p>
    <w:p w14:paraId="569FDFED">
      <w:pPr>
        <w:spacing w:line="360" w:lineRule="auto"/>
        <w:ind w:firstLine="560" w:firstLineChars="200"/>
        <w:rPr>
          <w:rFonts w:ascii="宋体" w:hAnsi="宋体" w:cs="宋体"/>
          <w:sz w:val="28"/>
          <w:szCs w:val="28"/>
        </w:rPr>
      </w:pPr>
      <w:r>
        <w:rPr>
          <w:rFonts w:hint="eastAsia" w:ascii="宋体" w:hAnsi="宋体" w:cs="宋体"/>
          <w:sz w:val="28"/>
          <w:szCs w:val="28"/>
        </w:rPr>
        <w:t>蓟县系树芽屯群石门组二段（</w:t>
      </w:r>
      <w:r>
        <w:rPr>
          <w:rFonts w:ascii="宋体" w:hAnsi="宋体" w:cs="宋体"/>
          <w:sz w:val="28"/>
          <w:szCs w:val="28"/>
        </w:rPr>
        <w:t>Pt</w:t>
      </w:r>
      <w:r>
        <w:rPr>
          <w:rFonts w:ascii="宋体" w:hAnsi="宋体" w:cs="宋体"/>
          <w:sz w:val="28"/>
          <w:szCs w:val="28"/>
          <w:vertAlign w:val="subscript"/>
        </w:rPr>
        <w:t>2</w:t>
      </w:r>
      <w:r>
        <w:rPr>
          <w:rFonts w:ascii="宋体" w:hAnsi="宋体" w:cs="宋体"/>
          <w:sz w:val="28"/>
          <w:szCs w:val="28"/>
          <w:vertAlign w:val="superscript"/>
        </w:rPr>
        <w:t>2</w:t>
      </w:r>
      <w:r>
        <w:rPr>
          <w:rFonts w:hint="eastAsia" w:ascii="MS Mincho" w:hAnsi="MS Mincho" w:eastAsia="MS Mincho" w:cs="MS Mincho"/>
          <w:sz w:val="28"/>
          <w:szCs w:val="28"/>
        </w:rPr>
        <w:t>ŝ</w:t>
      </w:r>
      <w:r>
        <w:rPr>
          <w:rFonts w:hint="eastAsia" w:ascii="宋体" w:hAnsi="宋体" w:cs="宋体"/>
          <w:sz w:val="28"/>
          <w:szCs w:val="28"/>
          <w:vertAlign w:val="superscript"/>
        </w:rPr>
        <w:t>2</w:t>
      </w:r>
      <w:r>
        <w:rPr>
          <w:rFonts w:hint="eastAsia" w:ascii="宋体" w:hAnsi="宋体" w:cs="宋体"/>
          <w:sz w:val="28"/>
          <w:szCs w:val="28"/>
        </w:rPr>
        <w:t>）：该地层分布于本区南侧，是建筑用白云岩的含矿地层。岩性主要为白云岩，地层走向</w:t>
      </w:r>
      <w:r>
        <w:rPr>
          <w:rFonts w:ascii="宋体" w:hAnsi="宋体" w:cs="宋体"/>
          <w:sz w:val="28"/>
          <w:szCs w:val="28"/>
        </w:rPr>
        <w:t>80-110°</w:t>
      </w:r>
      <w:r>
        <w:rPr>
          <w:rFonts w:hint="eastAsia" w:ascii="宋体" w:hAnsi="宋体" w:cs="宋体"/>
          <w:sz w:val="28"/>
          <w:szCs w:val="28"/>
        </w:rPr>
        <w:t>，倾向北，倾角</w:t>
      </w:r>
      <w:r>
        <w:rPr>
          <w:rFonts w:ascii="宋体" w:hAnsi="宋体" w:cs="宋体"/>
          <w:sz w:val="28"/>
          <w:szCs w:val="28"/>
        </w:rPr>
        <w:t>15-25°</w:t>
      </w:r>
      <w:r>
        <w:rPr>
          <w:rFonts w:hint="eastAsia" w:ascii="宋体" w:hAnsi="宋体" w:cs="宋体"/>
          <w:sz w:val="28"/>
          <w:szCs w:val="28"/>
        </w:rPr>
        <w:t>，呈层状近南北向展布，区内层厚</w:t>
      </w:r>
      <w:r>
        <w:rPr>
          <w:rFonts w:ascii="宋体" w:hAnsi="宋体" w:cs="宋体"/>
          <w:sz w:val="28"/>
          <w:szCs w:val="28"/>
        </w:rPr>
        <w:t>40-80m</w:t>
      </w:r>
      <w:r>
        <w:rPr>
          <w:rFonts w:hint="eastAsia" w:ascii="宋体" w:hAnsi="宋体" w:cs="宋体"/>
          <w:sz w:val="28"/>
          <w:szCs w:val="28"/>
        </w:rPr>
        <w:t>左右。与石英砂岩整合接触，位于石英砂岩下盘。</w:t>
      </w:r>
    </w:p>
    <w:p w14:paraId="0CA98D4E">
      <w:pPr>
        <w:spacing w:line="360" w:lineRule="auto"/>
        <w:ind w:firstLine="560" w:firstLineChars="200"/>
        <w:rPr>
          <w:rFonts w:ascii="宋体" w:hAnsi="宋体" w:cs="宋体"/>
          <w:sz w:val="28"/>
          <w:szCs w:val="28"/>
        </w:rPr>
      </w:pPr>
      <w:r>
        <w:rPr>
          <w:rFonts w:hint="eastAsia" w:ascii="宋体" w:hAnsi="宋体" w:cs="宋体"/>
          <w:sz w:val="28"/>
          <w:szCs w:val="28"/>
        </w:rPr>
        <w:t>蓟县系树芽屯群石门组三段（</w:t>
      </w:r>
      <w:r>
        <w:rPr>
          <w:rFonts w:ascii="宋体" w:hAnsi="宋体" w:cs="宋体"/>
          <w:sz w:val="28"/>
          <w:szCs w:val="28"/>
        </w:rPr>
        <w:t>Pt</w:t>
      </w:r>
      <w:r>
        <w:rPr>
          <w:rFonts w:ascii="宋体" w:hAnsi="宋体" w:cs="宋体"/>
          <w:sz w:val="28"/>
          <w:szCs w:val="28"/>
          <w:vertAlign w:val="subscript"/>
        </w:rPr>
        <w:t>2</w:t>
      </w:r>
      <w:r>
        <w:rPr>
          <w:rFonts w:ascii="宋体" w:hAnsi="宋体" w:cs="宋体"/>
          <w:sz w:val="28"/>
          <w:szCs w:val="28"/>
          <w:vertAlign w:val="superscript"/>
        </w:rPr>
        <w:t>2</w:t>
      </w:r>
      <w:r>
        <w:rPr>
          <w:rFonts w:hint="eastAsia" w:ascii="MS Mincho" w:hAnsi="MS Mincho" w:eastAsia="MS Mincho" w:cs="MS Mincho"/>
          <w:sz w:val="28"/>
          <w:szCs w:val="28"/>
        </w:rPr>
        <w:t>ŝ</w:t>
      </w:r>
      <w:r>
        <w:rPr>
          <w:rFonts w:hint="eastAsia" w:ascii="宋体" w:hAnsi="宋体" w:cs="宋体"/>
          <w:sz w:val="28"/>
          <w:szCs w:val="28"/>
          <w:vertAlign w:val="superscript"/>
        </w:rPr>
        <w:t>3</w:t>
      </w:r>
      <w:r>
        <w:rPr>
          <w:rFonts w:hint="eastAsia" w:ascii="宋体" w:hAnsi="宋体" w:cs="宋体"/>
          <w:sz w:val="28"/>
          <w:szCs w:val="28"/>
        </w:rPr>
        <w:t>）：该地层分布于本区整个北侧，是建筑用石英砂岩的含矿地层。岩性主要为石英砂岩，地层走向</w:t>
      </w:r>
      <w:r>
        <w:rPr>
          <w:rFonts w:ascii="宋体" w:hAnsi="宋体" w:cs="宋体"/>
          <w:sz w:val="28"/>
          <w:szCs w:val="28"/>
        </w:rPr>
        <w:t>80-110°</w:t>
      </w:r>
      <w:r>
        <w:rPr>
          <w:rFonts w:hint="eastAsia" w:ascii="宋体" w:hAnsi="宋体" w:cs="宋体"/>
          <w:sz w:val="28"/>
          <w:szCs w:val="28"/>
        </w:rPr>
        <w:t>，倾向北，倾角</w:t>
      </w:r>
      <w:r>
        <w:rPr>
          <w:rFonts w:ascii="宋体" w:hAnsi="宋体" w:cs="宋体"/>
          <w:sz w:val="28"/>
          <w:szCs w:val="28"/>
        </w:rPr>
        <w:t>15-25°</w:t>
      </w:r>
      <w:r>
        <w:rPr>
          <w:rFonts w:hint="eastAsia" w:ascii="宋体" w:hAnsi="宋体" w:cs="宋体"/>
          <w:sz w:val="28"/>
          <w:szCs w:val="28"/>
        </w:rPr>
        <w:t>，呈层状近南北向展布，区内层厚</w:t>
      </w:r>
      <w:r>
        <w:rPr>
          <w:rFonts w:ascii="宋体" w:hAnsi="宋体" w:cs="宋体"/>
          <w:sz w:val="28"/>
          <w:szCs w:val="28"/>
        </w:rPr>
        <w:t>40-80m</w:t>
      </w:r>
      <w:r>
        <w:rPr>
          <w:rFonts w:hint="eastAsia" w:ascii="宋体" w:hAnsi="宋体" w:cs="宋体"/>
          <w:sz w:val="28"/>
          <w:szCs w:val="28"/>
        </w:rPr>
        <w:t>左右。</w:t>
      </w:r>
    </w:p>
    <w:p w14:paraId="6C4EC09C">
      <w:pPr>
        <w:spacing w:line="360" w:lineRule="auto"/>
        <w:ind w:firstLine="560" w:firstLineChars="200"/>
        <w:rPr>
          <w:rFonts w:ascii="宋体" w:hAnsi="宋体" w:cs="宋体"/>
          <w:sz w:val="28"/>
          <w:szCs w:val="28"/>
        </w:rPr>
      </w:pPr>
      <w:r>
        <w:rPr>
          <w:rFonts w:hint="eastAsia" w:ascii="宋体" w:hAnsi="宋体" w:cs="宋体"/>
          <w:sz w:val="28"/>
          <w:szCs w:val="28"/>
        </w:rPr>
        <w:t>第四系洪冲积（Q</w:t>
      </w:r>
      <w:r>
        <w:rPr>
          <w:rFonts w:hint="eastAsia" w:ascii="宋体" w:hAnsi="宋体" w:cs="宋体"/>
          <w:sz w:val="28"/>
          <w:szCs w:val="28"/>
          <w:vertAlign w:val="subscript"/>
        </w:rPr>
        <w:t>4</w:t>
      </w:r>
      <w:r>
        <w:rPr>
          <w:rFonts w:hint="eastAsia" w:ascii="宋体" w:hAnsi="宋体" w:cs="宋体"/>
          <w:sz w:val="28"/>
          <w:szCs w:val="28"/>
          <w:vertAlign w:val="superscript"/>
        </w:rPr>
        <w:t>lapl</w:t>
      </w:r>
      <w:r>
        <w:rPr>
          <w:rFonts w:hint="eastAsia" w:ascii="宋体" w:hAnsi="宋体" w:cs="宋体"/>
          <w:sz w:val="28"/>
          <w:szCs w:val="28"/>
        </w:rPr>
        <w:t>）：上部含砾亚砂土、下部砂砾石、中粗砂，厚度变化较大，层厚1.2-13m。</w:t>
      </w:r>
    </w:p>
    <w:p w14:paraId="49B1426E">
      <w:pPr>
        <w:spacing w:line="360" w:lineRule="auto"/>
        <w:ind w:firstLine="560" w:firstLineChars="200"/>
        <w:rPr>
          <w:rFonts w:ascii="宋体" w:hAnsi="宋体" w:cs="宋体"/>
          <w:color w:val="FF0000"/>
          <w:sz w:val="28"/>
          <w:szCs w:val="28"/>
        </w:rPr>
      </w:pPr>
      <w:r>
        <w:rPr>
          <w:rFonts w:hint="eastAsia" w:ascii="宋体" w:hAnsi="宋体" w:cs="宋体"/>
          <w:sz w:val="28"/>
          <w:szCs w:val="28"/>
        </w:rPr>
        <w:t>区内无较大的构造，局部节理裂隙发育。裂隙面可见方解石脉穿插，多呈白色，宽度在几毫米到几厘米之间，个别地段被黏土矿物填充。区内未见岩浆岩出露。</w:t>
      </w:r>
      <w:bookmarkEnd w:id="80"/>
      <w:bookmarkEnd w:id="81"/>
      <w:bookmarkEnd w:id="82"/>
      <w:bookmarkEnd w:id="83"/>
      <w:bookmarkEnd w:id="84"/>
      <w:bookmarkEnd w:id="85"/>
      <w:bookmarkEnd w:id="86"/>
    </w:p>
    <w:bookmarkEnd w:id="87"/>
    <w:p w14:paraId="71D63DDF">
      <w:pPr>
        <w:pStyle w:val="5"/>
        <w:spacing w:line="360" w:lineRule="auto"/>
        <w:ind w:firstLine="562" w:firstLineChars="200"/>
        <w:rPr>
          <w:rFonts w:ascii="宋体" w:hAnsi="宋体" w:cs="宋体"/>
          <w:sz w:val="28"/>
          <w:szCs w:val="28"/>
        </w:rPr>
      </w:pPr>
      <w:r>
        <w:rPr>
          <w:rFonts w:hint="eastAsia" w:ascii="宋体" w:hAnsi="宋体" w:cs="宋体"/>
          <w:sz w:val="28"/>
          <w:szCs w:val="28"/>
        </w:rPr>
        <w:t>3、矿体特征</w:t>
      </w:r>
      <w:bookmarkEnd w:id="88"/>
      <w:bookmarkEnd w:id="89"/>
      <w:bookmarkEnd w:id="90"/>
      <w:bookmarkEnd w:id="91"/>
      <w:bookmarkEnd w:id="92"/>
      <w:bookmarkEnd w:id="93"/>
    </w:p>
    <w:p w14:paraId="040B5455">
      <w:pPr>
        <w:spacing w:line="360" w:lineRule="auto"/>
        <w:ind w:firstLine="560" w:firstLineChars="200"/>
        <w:rPr>
          <w:rFonts w:ascii="宋体" w:hAnsi="宋体" w:cs="宋体"/>
          <w:sz w:val="28"/>
          <w:szCs w:val="28"/>
        </w:rPr>
      </w:pPr>
      <w:bookmarkStart w:id="94" w:name="_Toc10438"/>
      <w:bookmarkStart w:id="95" w:name="_Toc6651"/>
      <w:bookmarkStart w:id="96" w:name="_Toc523653242"/>
      <w:bookmarkStart w:id="97" w:name="_Toc251588767"/>
      <w:bookmarkStart w:id="98" w:name="_Toc30936"/>
      <w:bookmarkStart w:id="99" w:name="_Toc4403"/>
      <w:r>
        <w:rPr>
          <w:rFonts w:hint="eastAsia" w:ascii="宋体" w:hAnsi="宋体" w:cs="宋体"/>
          <w:sz w:val="28"/>
          <w:szCs w:val="28"/>
        </w:rPr>
        <w:t>矿区共圈定了两种类型建筑石料用矿体，分别为白云岩和石英砂岩矿体特征分述如下：</w:t>
      </w:r>
    </w:p>
    <w:p w14:paraId="134FE332">
      <w:pPr>
        <w:spacing w:line="360" w:lineRule="auto"/>
        <w:ind w:firstLine="560" w:firstLineChars="200"/>
        <w:rPr>
          <w:rFonts w:ascii="宋体" w:hAnsi="宋体" w:cs="宋体"/>
          <w:sz w:val="28"/>
          <w:szCs w:val="28"/>
        </w:rPr>
      </w:pPr>
      <w:r>
        <w:rPr>
          <w:rFonts w:hint="eastAsia" w:ascii="宋体" w:hAnsi="宋体" w:cs="宋体"/>
          <w:sz w:val="28"/>
          <w:szCs w:val="28"/>
        </w:rPr>
        <w:t>1、建筑用白云岩矿体</w:t>
      </w:r>
    </w:p>
    <w:p w14:paraId="0F4AD6D5">
      <w:pPr>
        <w:spacing w:line="360" w:lineRule="auto"/>
        <w:ind w:firstLine="560" w:firstLineChars="200"/>
        <w:rPr>
          <w:rFonts w:ascii="宋体" w:hAnsi="宋体" w:cs="宋体"/>
          <w:sz w:val="28"/>
          <w:szCs w:val="28"/>
        </w:rPr>
      </w:pPr>
      <w:r>
        <w:rPr>
          <w:rFonts w:hint="eastAsia" w:ascii="宋体" w:hAnsi="宋体" w:cs="宋体"/>
          <w:sz w:val="28"/>
          <w:szCs w:val="28"/>
        </w:rPr>
        <w:t>赋存于蓟县系树芽屯群石门组二段（</w:t>
      </w:r>
      <w:r>
        <w:rPr>
          <w:rFonts w:ascii="宋体" w:hAnsi="宋体" w:cs="宋体"/>
          <w:sz w:val="28"/>
          <w:szCs w:val="28"/>
        </w:rPr>
        <w:t>Pt</w:t>
      </w:r>
      <w:r>
        <w:rPr>
          <w:rFonts w:ascii="宋体" w:hAnsi="宋体" w:cs="宋体"/>
          <w:sz w:val="28"/>
          <w:szCs w:val="28"/>
          <w:vertAlign w:val="subscript"/>
        </w:rPr>
        <w:t>2</w:t>
      </w:r>
      <w:r>
        <w:rPr>
          <w:rFonts w:ascii="宋体" w:hAnsi="宋体" w:cs="宋体"/>
          <w:sz w:val="28"/>
          <w:szCs w:val="28"/>
          <w:vertAlign w:val="superscript"/>
        </w:rPr>
        <w:t>2</w:t>
      </w:r>
      <w:r>
        <w:rPr>
          <w:rFonts w:hint="eastAsia" w:ascii="MS Mincho" w:hAnsi="MS Mincho" w:eastAsia="MS Mincho" w:cs="MS Mincho"/>
          <w:sz w:val="28"/>
          <w:szCs w:val="28"/>
        </w:rPr>
        <w:t>ŝ</w:t>
      </w:r>
      <w:r>
        <w:rPr>
          <w:rFonts w:hint="eastAsia" w:ascii="宋体" w:hAnsi="宋体" w:cs="宋体"/>
          <w:sz w:val="28"/>
          <w:szCs w:val="28"/>
          <w:vertAlign w:val="superscript"/>
        </w:rPr>
        <w:t>2</w:t>
      </w:r>
      <w:r>
        <w:rPr>
          <w:rFonts w:hint="eastAsia" w:ascii="宋体" w:hAnsi="宋体" w:cs="宋体"/>
          <w:sz w:val="28"/>
          <w:szCs w:val="28"/>
        </w:rPr>
        <w:t>），严格受地层层位控制，矿体由ZK0-1、ZK3-1、ZK7-1、露天采场控制，矿体走向长540m，矿体最大延深为260m。总体走向</w:t>
      </w:r>
      <w:r>
        <w:rPr>
          <w:rFonts w:ascii="宋体" w:hAnsi="宋体" w:cs="宋体"/>
          <w:sz w:val="28"/>
          <w:szCs w:val="28"/>
        </w:rPr>
        <w:t>80°</w:t>
      </w:r>
      <w:r>
        <w:rPr>
          <w:rFonts w:hint="eastAsia" w:ascii="宋体" w:hAnsi="宋体" w:cs="宋体"/>
          <w:sz w:val="28"/>
          <w:szCs w:val="28"/>
        </w:rPr>
        <w:t>，倾向</w:t>
      </w:r>
      <w:r>
        <w:rPr>
          <w:rFonts w:ascii="宋体" w:hAnsi="宋体" w:cs="宋体"/>
          <w:sz w:val="28"/>
          <w:szCs w:val="28"/>
        </w:rPr>
        <w:t>350°</w:t>
      </w:r>
      <w:r>
        <w:rPr>
          <w:rFonts w:hint="eastAsia" w:ascii="宋体" w:hAnsi="宋体" w:cs="宋体"/>
          <w:sz w:val="28"/>
          <w:szCs w:val="28"/>
        </w:rPr>
        <w:t>，倾角</w:t>
      </w:r>
      <w:r>
        <w:rPr>
          <w:rFonts w:ascii="宋体" w:hAnsi="宋体" w:cs="宋体"/>
          <w:sz w:val="28"/>
          <w:szCs w:val="28"/>
        </w:rPr>
        <w:t>15-25°</w:t>
      </w:r>
      <w:r>
        <w:rPr>
          <w:rFonts w:hint="eastAsia" w:ascii="宋体" w:hAnsi="宋体" w:cs="宋体"/>
          <w:sz w:val="28"/>
          <w:szCs w:val="28"/>
        </w:rPr>
        <w:t>，形态呈层状产出，矿体底板为白云岩，顶板为石英砂岩，矿层变化稳定，内部无分支复合情况，未见夹石，矿体未受到构造岩浆岩的影响，复杂程度为简单。矿体厚度一般为5m～48.0m，平均厚度35.75m，厚度变化系数57.66%，矿体岩倾向走向均延深至区外，赋矿标高170～226m，埋深0～93m。</w:t>
      </w:r>
    </w:p>
    <w:p w14:paraId="7FD5E880">
      <w:pPr>
        <w:spacing w:line="360" w:lineRule="auto"/>
        <w:ind w:firstLine="560" w:firstLineChars="200"/>
        <w:rPr>
          <w:rFonts w:ascii="宋体" w:hAnsi="宋体" w:cs="宋体"/>
          <w:sz w:val="28"/>
          <w:szCs w:val="28"/>
        </w:rPr>
      </w:pPr>
      <w:r>
        <w:rPr>
          <w:rFonts w:hint="eastAsia" w:ascii="宋体" w:hAnsi="宋体" w:cs="宋体"/>
          <w:sz w:val="28"/>
          <w:szCs w:val="28"/>
        </w:rPr>
        <w:t>2、建筑用石英砂岩矿体</w:t>
      </w:r>
    </w:p>
    <w:p w14:paraId="41908638">
      <w:pPr>
        <w:spacing w:line="360" w:lineRule="auto"/>
        <w:ind w:firstLine="560" w:firstLineChars="200"/>
        <w:rPr>
          <w:rFonts w:ascii="宋体" w:hAnsi="宋体" w:cs="宋体"/>
          <w:sz w:val="28"/>
          <w:szCs w:val="28"/>
        </w:rPr>
      </w:pPr>
      <w:r>
        <w:rPr>
          <w:rFonts w:hint="eastAsia" w:ascii="宋体" w:hAnsi="宋体" w:cs="宋体"/>
          <w:sz w:val="28"/>
          <w:szCs w:val="28"/>
        </w:rPr>
        <w:t>赋存于蓟县系树芽屯群石门组三段（</w:t>
      </w:r>
      <w:r>
        <w:rPr>
          <w:rFonts w:ascii="宋体" w:hAnsi="宋体" w:cs="宋体"/>
          <w:sz w:val="28"/>
          <w:szCs w:val="28"/>
        </w:rPr>
        <w:t>Pt</w:t>
      </w:r>
      <w:r>
        <w:rPr>
          <w:rFonts w:ascii="宋体" w:hAnsi="宋体" w:cs="宋体"/>
          <w:sz w:val="28"/>
          <w:szCs w:val="28"/>
          <w:vertAlign w:val="subscript"/>
        </w:rPr>
        <w:t>2</w:t>
      </w:r>
      <w:r>
        <w:rPr>
          <w:rFonts w:ascii="宋体" w:hAnsi="宋体" w:cs="宋体"/>
          <w:sz w:val="28"/>
          <w:szCs w:val="28"/>
          <w:vertAlign w:val="superscript"/>
        </w:rPr>
        <w:t>2</w:t>
      </w:r>
      <w:r>
        <w:rPr>
          <w:rFonts w:hint="eastAsia" w:ascii="MS Mincho" w:hAnsi="MS Mincho" w:eastAsia="MS Mincho" w:cs="MS Mincho"/>
          <w:sz w:val="28"/>
          <w:szCs w:val="28"/>
        </w:rPr>
        <w:t>ŝ</w:t>
      </w:r>
      <w:r>
        <w:rPr>
          <w:rFonts w:hint="eastAsia" w:ascii="宋体" w:hAnsi="宋体" w:cs="宋体"/>
          <w:sz w:val="28"/>
          <w:szCs w:val="28"/>
          <w:vertAlign w:val="superscript"/>
        </w:rPr>
        <w:t>3</w:t>
      </w:r>
      <w:r>
        <w:rPr>
          <w:rFonts w:hint="eastAsia" w:ascii="宋体" w:hAnsi="宋体" w:cs="宋体"/>
          <w:sz w:val="28"/>
          <w:szCs w:val="28"/>
        </w:rPr>
        <w:t>），严格受地层层位控制，由ZK0-1、ZK3-1、ZK3-2、ZK7-1、ZK7-2、ZK11-1及露天采场控制，矿体走向长660m，矿体最大延深为380m，总体走向</w:t>
      </w:r>
      <w:r>
        <w:rPr>
          <w:rFonts w:ascii="宋体" w:hAnsi="宋体" w:cs="宋体"/>
          <w:sz w:val="28"/>
          <w:szCs w:val="28"/>
        </w:rPr>
        <w:t>80°</w:t>
      </w:r>
      <w:r>
        <w:rPr>
          <w:rFonts w:hint="eastAsia" w:ascii="宋体" w:hAnsi="宋体" w:cs="宋体"/>
          <w:sz w:val="28"/>
          <w:szCs w:val="28"/>
        </w:rPr>
        <w:t>，倾向</w:t>
      </w:r>
      <w:r>
        <w:rPr>
          <w:rFonts w:ascii="宋体" w:hAnsi="宋体" w:cs="宋体"/>
          <w:sz w:val="28"/>
          <w:szCs w:val="28"/>
        </w:rPr>
        <w:t>350°</w:t>
      </w:r>
      <w:r>
        <w:rPr>
          <w:rFonts w:hint="eastAsia" w:ascii="宋体" w:hAnsi="宋体" w:cs="宋体"/>
          <w:sz w:val="28"/>
          <w:szCs w:val="28"/>
        </w:rPr>
        <w:t>，倾角</w:t>
      </w:r>
      <w:r>
        <w:rPr>
          <w:rFonts w:ascii="宋体" w:hAnsi="宋体" w:cs="宋体"/>
          <w:sz w:val="28"/>
          <w:szCs w:val="28"/>
        </w:rPr>
        <w:t>15-25°</w:t>
      </w:r>
      <w:r>
        <w:rPr>
          <w:rFonts w:hint="eastAsia" w:ascii="宋体" w:hAnsi="宋体" w:cs="宋体"/>
          <w:sz w:val="28"/>
          <w:szCs w:val="28"/>
        </w:rPr>
        <w:t>，形态呈层状产出，矿体底板为石英砂岩，顶板为白云岩，矿层变化稳定，内部无分支复合情况，未见夹石，矿体未受到构造岩浆岩的影响，复杂程度为简单。厚度一般为18.00m～50.00m，平均厚度31.73m，厚度变化系数30.94%，赋矿标高170～250m，埋深0～60m。</w:t>
      </w:r>
    </w:p>
    <w:p w14:paraId="766E5E03">
      <w:pPr>
        <w:spacing w:line="360" w:lineRule="auto"/>
        <w:jc w:val="center"/>
        <w:rPr>
          <w:rFonts w:ascii="宋体" w:hAnsi="宋体" w:cs="宋体"/>
          <w:b/>
          <w:bCs/>
          <w:spacing w:val="-7"/>
          <w:szCs w:val="21"/>
        </w:rPr>
      </w:pPr>
      <w:r>
        <w:rPr>
          <w:rFonts w:hint="eastAsia" w:ascii="宋体" w:hAnsi="宋体" w:cs="宋体"/>
          <w:b/>
          <w:bCs/>
          <w:spacing w:val="-7"/>
          <w:szCs w:val="21"/>
        </w:rPr>
        <w:t>表2-1    矿体特征一览表</w:t>
      </w:r>
    </w:p>
    <w:tbl>
      <w:tblPr>
        <w:tblStyle w:val="42"/>
        <w:tblW w:w="46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749"/>
        <w:gridCol w:w="611"/>
        <w:gridCol w:w="879"/>
        <w:gridCol w:w="669"/>
        <w:gridCol w:w="670"/>
        <w:gridCol w:w="726"/>
        <w:gridCol w:w="872"/>
        <w:gridCol w:w="890"/>
        <w:gridCol w:w="1248"/>
      </w:tblGrid>
      <w:tr w14:paraId="16A38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46" w:type="pct"/>
            <w:vMerge w:val="restart"/>
            <w:noWrap/>
            <w:vAlign w:val="center"/>
          </w:tcPr>
          <w:p w14:paraId="3C7B7908">
            <w:pPr>
              <w:jc w:val="center"/>
              <w:rPr>
                <w:rFonts w:ascii="宋体" w:hAnsi="宋体" w:cs="宋体"/>
                <w:b/>
                <w:kern w:val="0"/>
                <w:szCs w:val="21"/>
              </w:rPr>
            </w:pPr>
            <w:r>
              <w:rPr>
                <w:rFonts w:hint="eastAsia" w:ascii="宋体" w:hAnsi="宋体" w:cs="宋体"/>
                <w:b/>
                <w:kern w:val="0"/>
                <w:szCs w:val="21"/>
              </w:rPr>
              <w:t>矿体</w:t>
            </w:r>
          </w:p>
        </w:tc>
        <w:tc>
          <w:tcPr>
            <w:tcW w:w="1333" w:type="pct"/>
            <w:gridSpan w:val="3"/>
            <w:noWrap/>
            <w:vAlign w:val="center"/>
          </w:tcPr>
          <w:p w14:paraId="3B831819">
            <w:pPr>
              <w:jc w:val="center"/>
              <w:rPr>
                <w:rFonts w:ascii="宋体" w:hAnsi="宋体" w:cs="宋体"/>
                <w:b/>
                <w:kern w:val="0"/>
                <w:szCs w:val="21"/>
                <w:highlight w:val="yellow"/>
              </w:rPr>
            </w:pPr>
            <w:r>
              <w:rPr>
                <w:rFonts w:hint="eastAsia" w:ascii="宋体" w:hAnsi="宋体" w:cs="宋体"/>
                <w:b/>
                <w:kern w:val="0"/>
                <w:szCs w:val="21"/>
              </w:rPr>
              <w:t>规模（m）</w:t>
            </w:r>
          </w:p>
        </w:tc>
        <w:tc>
          <w:tcPr>
            <w:tcW w:w="797" w:type="pct"/>
            <w:gridSpan w:val="2"/>
            <w:vAlign w:val="center"/>
          </w:tcPr>
          <w:p w14:paraId="127C7E6F">
            <w:pPr>
              <w:jc w:val="center"/>
              <w:rPr>
                <w:rFonts w:ascii="宋体" w:hAnsi="宋体" w:cs="宋体"/>
                <w:b/>
                <w:kern w:val="0"/>
                <w:szCs w:val="21"/>
                <w:highlight w:val="yellow"/>
              </w:rPr>
            </w:pPr>
            <w:r>
              <w:rPr>
                <w:rFonts w:hint="eastAsia" w:ascii="宋体" w:hAnsi="宋体" w:cs="宋体"/>
                <w:b/>
                <w:kern w:val="0"/>
                <w:szCs w:val="21"/>
              </w:rPr>
              <w:t>产状（度）</w:t>
            </w:r>
          </w:p>
        </w:tc>
        <w:tc>
          <w:tcPr>
            <w:tcW w:w="1481" w:type="pct"/>
            <w:gridSpan w:val="3"/>
            <w:noWrap/>
            <w:vAlign w:val="center"/>
          </w:tcPr>
          <w:p w14:paraId="15983174">
            <w:pPr>
              <w:jc w:val="center"/>
              <w:rPr>
                <w:rFonts w:ascii="宋体" w:hAnsi="宋体" w:cs="宋体"/>
                <w:b/>
                <w:bCs/>
                <w:kern w:val="0"/>
                <w:szCs w:val="21"/>
              </w:rPr>
            </w:pPr>
            <w:r>
              <w:rPr>
                <w:rFonts w:hint="eastAsia" w:ascii="宋体" w:hAnsi="宋体" w:cs="宋体"/>
                <w:b/>
                <w:bCs/>
                <w:kern w:val="0"/>
                <w:szCs w:val="21"/>
              </w:rPr>
              <w:t>抗压强度(水饱和)MPa</w:t>
            </w:r>
          </w:p>
        </w:tc>
        <w:tc>
          <w:tcPr>
            <w:tcW w:w="743" w:type="pct"/>
            <w:vMerge w:val="restart"/>
            <w:noWrap/>
            <w:vAlign w:val="center"/>
          </w:tcPr>
          <w:p w14:paraId="4415B06E">
            <w:pPr>
              <w:jc w:val="center"/>
              <w:rPr>
                <w:rFonts w:ascii="宋体" w:hAnsi="宋体" w:cs="宋体"/>
                <w:b/>
                <w:kern w:val="0"/>
                <w:szCs w:val="21"/>
              </w:rPr>
            </w:pPr>
            <w:r>
              <w:rPr>
                <w:rFonts w:hint="eastAsia" w:ascii="宋体" w:hAnsi="宋体" w:cs="宋体"/>
                <w:b/>
                <w:kern w:val="0"/>
                <w:szCs w:val="21"/>
              </w:rPr>
              <w:t>赋矿</w:t>
            </w:r>
          </w:p>
          <w:p w14:paraId="0FFAA72D">
            <w:pPr>
              <w:jc w:val="center"/>
              <w:rPr>
                <w:rFonts w:ascii="宋体" w:hAnsi="宋体" w:cs="宋体"/>
                <w:b/>
                <w:kern w:val="0"/>
                <w:szCs w:val="21"/>
                <w:highlight w:val="yellow"/>
              </w:rPr>
            </w:pPr>
            <w:r>
              <w:rPr>
                <w:rFonts w:hint="eastAsia" w:ascii="宋体" w:hAnsi="宋体" w:cs="宋体"/>
                <w:b/>
                <w:kern w:val="0"/>
                <w:szCs w:val="21"/>
              </w:rPr>
              <w:t>标高（m）</w:t>
            </w:r>
          </w:p>
        </w:tc>
      </w:tr>
      <w:tr w14:paraId="331BD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46" w:type="pct"/>
            <w:vMerge w:val="continue"/>
            <w:noWrap/>
            <w:vAlign w:val="center"/>
          </w:tcPr>
          <w:p w14:paraId="4A0204E7">
            <w:pPr>
              <w:jc w:val="center"/>
              <w:rPr>
                <w:rFonts w:ascii="宋体" w:hAnsi="宋体" w:cs="宋体"/>
                <w:b/>
                <w:kern w:val="0"/>
                <w:szCs w:val="21"/>
                <w:highlight w:val="yellow"/>
              </w:rPr>
            </w:pPr>
          </w:p>
        </w:tc>
        <w:tc>
          <w:tcPr>
            <w:tcW w:w="446" w:type="pct"/>
            <w:noWrap/>
            <w:vAlign w:val="center"/>
          </w:tcPr>
          <w:p w14:paraId="07960986">
            <w:pPr>
              <w:jc w:val="center"/>
              <w:rPr>
                <w:rFonts w:ascii="宋体" w:hAnsi="宋体" w:cs="宋体"/>
                <w:b/>
                <w:kern w:val="0"/>
                <w:szCs w:val="21"/>
                <w:highlight w:val="yellow"/>
              </w:rPr>
            </w:pPr>
            <w:r>
              <w:rPr>
                <w:rFonts w:hint="eastAsia" w:ascii="宋体" w:hAnsi="宋体" w:cs="宋体"/>
                <w:b/>
                <w:kern w:val="0"/>
                <w:szCs w:val="21"/>
              </w:rPr>
              <w:t>延长</w:t>
            </w:r>
          </w:p>
        </w:tc>
        <w:tc>
          <w:tcPr>
            <w:tcW w:w="364" w:type="pct"/>
            <w:noWrap/>
            <w:vAlign w:val="center"/>
          </w:tcPr>
          <w:p w14:paraId="13265B23">
            <w:pPr>
              <w:jc w:val="center"/>
              <w:rPr>
                <w:rFonts w:ascii="宋体" w:hAnsi="宋体" w:cs="宋体"/>
                <w:b/>
                <w:kern w:val="0"/>
                <w:szCs w:val="21"/>
                <w:highlight w:val="yellow"/>
              </w:rPr>
            </w:pPr>
            <w:r>
              <w:rPr>
                <w:rFonts w:hint="eastAsia" w:ascii="宋体" w:hAnsi="宋体" w:cs="宋体"/>
                <w:b/>
                <w:kern w:val="0"/>
                <w:szCs w:val="21"/>
              </w:rPr>
              <w:t>延深</w:t>
            </w:r>
          </w:p>
        </w:tc>
        <w:tc>
          <w:tcPr>
            <w:tcW w:w="522" w:type="pct"/>
            <w:noWrap/>
            <w:vAlign w:val="center"/>
          </w:tcPr>
          <w:p w14:paraId="2834DC5A">
            <w:pPr>
              <w:jc w:val="center"/>
              <w:rPr>
                <w:rFonts w:ascii="宋体" w:hAnsi="宋体" w:cs="宋体"/>
                <w:b/>
                <w:kern w:val="0"/>
                <w:szCs w:val="21"/>
                <w:highlight w:val="yellow"/>
              </w:rPr>
            </w:pPr>
            <w:r>
              <w:rPr>
                <w:rFonts w:hint="eastAsia" w:ascii="宋体" w:hAnsi="宋体" w:cs="宋体"/>
                <w:b/>
                <w:kern w:val="0"/>
                <w:szCs w:val="21"/>
              </w:rPr>
              <w:t>厚度</w:t>
            </w:r>
          </w:p>
        </w:tc>
        <w:tc>
          <w:tcPr>
            <w:tcW w:w="398" w:type="pct"/>
            <w:noWrap/>
            <w:vAlign w:val="center"/>
          </w:tcPr>
          <w:p w14:paraId="37E0F538">
            <w:pPr>
              <w:jc w:val="center"/>
              <w:rPr>
                <w:rFonts w:ascii="宋体" w:hAnsi="宋体" w:cs="宋体"/>
                <w:b/>
                <w:kern w:val="0"/>
                <w:szCs w:val="21"/>
                <w:highlight w:val="yellow"/>
              </w:rPr>
            </w:pPr>
            <w:r>
              <w:rPr>
                <w:rFonts w:hint="eastAsia" w:ascii="宋体" w:hAnsi="宋体" w:cs="宋体"/>
                <w:b/>
                <w:kern w:val="0"/>
                <w:szCs w:val="21"/>
              </w:rPr>
              <w:t>倾向</w:t>
            </w:r>
          </w:p>
        </w:tc>
        <w:tc>
          <w:tcPr>
            <w:tcW w:w="399" w:type="pct"/>
            <w:noWrap/>
            <w:vAlign w:val="center"/>
          </w:tcPr>
          <w:p w14:paraId="60EB5659">
            <w:pPr>
              <w:jc w:val="center"/>
              <w:rPr>
                <w:rFonts w:ascii="宋体" w:hAnsi="宋体" w:cs="宋体"/>
                <w:b/>
                <w:kern w:val="0"/>
                <w:szCs w:val="21"/>
                <w:highlight w:val="yellow"/>
              </w:rPr>
            </w:pPr>
            <w:r>
              <w:rPr>
                <w:rFonts w:hint="eastAsia" w:ascii="宋体" w:hAnsi="宋体" w:cs="宋体"/>
                <w:b/>
                <w:kern w:val="0"/>
                <w:szCs w:val="21"/>
              </w:rPr>
              <w:t>倾角</w:t>
            </w:r>
          </w:p>
        </w:tc>
        <w:tc>
          <w:tcPr>
            <w:tcW w:w="432" w:type="pct"/>
            <w:noWrap/>
            <w:vAlign w:val="center"/>
          </w:tcPr>
          <w:p w14:paraId="2194E9A9">
            <w:pPr>
              <w:jc w:val="center"/>
              <w:rPr>
                <w:rFonts w:ascii="宋体" w:hAnsi="宋体" w:cs="宋体"/>
                <w:b/>
                <w:kern w:val="0"/>
                <w:szCs w:val="21"/>
              </w:rPr>
            </w:pPr>
            <w:r>
              <w:rPr>
                <w:rFonts w:hint="eastAsia" w:ascii="宋体" w:hAnsi="宋体" w:cs="宋体"/>
                <w:b/>
                <w:kern w:val="0"/>
                <w:szCs w:val="21"/>
              </w:rPr>
              <w:t>低值</w:t>
            </w:r>
          </w:p>
        </w:tc>
        <w:tc>
          <w:tcPr>
            <w:tcW w:w="519" w:type="pct"/>
            <w:noWrap/>
            <w:vAlign w:val="center"/>
          </w:tcPr>
          <w:p w14:paraId="18B5AB3B">
            <w:pPr>
              <w:jc w:val="center"/>
              <w:rPr>
                <w:rFonts w:ascii="宋体" w:hAnsi="宋体" w:cs="宋体"/>
                <w:b/>
                <w:kern w:val="0"/>
                <w:szCs w:val="21"/>
              </w:rPr>
            </w:pPr>
            <w:r>
              <w:rPr>
                <w:rFonts w:hint="eastAsia" w:ascii="宋体" w:hAnsi="宋体" w:cs="宋体"/>
                <w:b/>
                <w:kern w:val="0"/>
                <w:szCs w:val="21"/>
              </w:rPr>
              <w:t>高值</w:t>
            </w:r>
          </w:p>
        </w:tc>
        <w:tc>
          <w:tcPr>
            <w:tcW w:w="530" w:type="pct"/>
            <w:noWrap/>
            <w:vAlign w:val="center"/>
          </w:tcPr>
          <w:p w14:paraId="5F4FF4A0">
            <w:pPr>
              <w:jc w:val="center"/>
              <w:rPr>
                <w:rFonts w:ascii="宋体" w:hAnsi="宋体" w:cs="宋体"/>
                <w:b/>
                <w:kern w:val="0"/>
                <w:szCs w:val="21"/>
              </w:rPr>
            </w:pPr>
            <w:r>
              <w:rPr>
                <w:rFonts w:hint="eastAsia" w:ascii="宋体" w:hAnsi="宋体" w:cs="宋体"/>
                <w:b/>
                <w:kern w:val="0"/>
                <w:szCs w:val="21"/>
              </w:rPr>
              <w:t>平均</w:t>
            </w:r>
          </w:p>
        </w:tc>
        <w:tc>
          <w:tcPr>
            <w:tcW w:w="743" w:type="pct"/>
            <w:vMerge w:val="continue"/>
            <w:noWrap/>
            <w:vAlign w:val="center"/>
          </w:tcPr>
          <w:p w14:paraId="3C46862C">
            <w:pPr>
              <w:jc w:val="center"/>
              <w:rPr>
                <w:rFonts w:ascii="宋体" w:hAnsi="宋体" w:cs="宋体"/>
                <w:b/>
                <w:kern w:val="0"/>
                <w:szCs w:val="21"/>
                <w:highlight w:val="yellow"/>
              </w:rPr>
            </w:pPr>
          </w:p>
        </w:tc>
      </w:tr>
      <w:tr w14:paraId="4A888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46" w:type="pct"/>
            <w:noWrap/>
            <w:vAlign w:val="center"/>
          </w:tcPr>
          <w:p w14:paraId="75A41616">
            <w:pPr>
              <w:jc w:val="center"/>
              <w:rPr>
                <w:rFonts w:ascii="宋体" w:hAnsi="宋体" w:cs="宋体"/>
                <w:kern w:val="0"/>
                <w:szCs w:val="21"/>
              </w:rPr>
            </w:pPr>
            <w:r>
              <w:rPr>
                <w:rFonts w:hint="eastAsia" w:ascii="宋体" w:hAnsi="宋体" w:cs="宋体"/>
                <w:kern w:val="0"/>
                <w:szCs w:val="21"/>
              </w:rPr>
              <w:t>白云岩</w:t>
            </w:r>
          </w:p>
        </w:tc>
        <w:tc>
          <w:tcPr>
            <w:tcW w:w="446" w:type="pct"/>
            <w:noWrap/>
            <w:vAlign w:val="center"/>
          </w:tcPr>
          <w:p w14:paraId="15200B0F">
            <w:pPr>
              <w:jc w:val="center"/>
              <w:rPr>
                <w:rFonts w:ascii="宋体" w:hAnsi="宋体" w:cs="宋体"/>
                <w:kern w:val="0"/>
                <w:szCs w:val="21"/>
              </w:rPr>
            </w:pPr>
            <w:r>
              <w:rPr>
                <w:rFonts w:hint="eastAsia" w:ascii="宋体" w:hAnsi="宋体" w:cs="宋体"/>
                <w:kern w:val="0"/>
                <w:szCs w:val="21"/>
              </w:rPr>
              <w:t>540</w:t>
            </w:r>
          </w:p>
        </w:tc>
        <w:tc>
          <w:tcPr>
            <w:tcW w:w="364" w:type="pct"/>
            <w:noWrap/>
            <w:vAlign w:val="center"/>
          </w:tcPr>
          <w:p w14:paraId="7BB3A4FD">
            <w:pPr>
              <w:jc w:val="center"/>
              <w:rPr>
                <w:rFonts w:ascii="宋体" w:hAnsi="宋体" w:cs="宋体"/>
                <w:kern w:val="0"/>
                <w:szCs w:val="21"/>
              </w:rPr>
            </w:pPr>
            <w:r>
              <w:rPr>
                <w:rFonts w:hint="eastAsia" w:ascii="宋体" w:hAnsi="宋体" w:cs="宋体"/>
                <w:kern w:val="0"/>
                <w:szCs w:val="21"/>
              </w:rPr>
              <w:t>260</w:t>
            </w:r>
          </w:p>
        </w:tc>
        <w:tc>
          <w:tcPr>
            <w:tcW w:w="522" w:type="pct"/>
            <w:noWrap/>
            <w:vAlign w:val="center"/>
          </w:tcPr>
          <w:p w14:paraId="401190BF">
            <w:pPr>
              <w:jc w:val="center"/>
              <w:rPr>
                <w:rFonts w:ascii="宋体" w:hAnsi="宋体" w:cs="宋体"/>
                <w:kern w:val="0"/>
                <w:szCs w:val="21"/>
              </w:rPr>
            </w:pPr>
            <w:r>
              <w:rPr>
                <w:rFonts w:hint="eastAsia" w:ascii="宋体" w:hAnsi="宋体" w:cs="宋体"/>
                <w:kern w:val="0"/>
                <w:szCs w:val="21"/>
              </w:rPr>
              <w:t>39.00</w:t>
            </w:r>
          </w:p>
        </w:tc>
        <w:tc>
          <w:tcPr>
            <w:tcW w:w="398" w:type="pct"/>
            <w:noWrap/>
            <w:vAlign w:val="center"/>
          </w:tcPr>
          <w:p w14:paraId="4FA46025">
            <w:pPr>
              <w:jc w:val="center"/>
              <w:rPr>
                <w:rFonts w:ascii="宋体" w:hAnsi="宋体" w:cs="宋体"/>
                <w:kern w:val="0"/>
                <w:szCs w:val="21"/>
                <w:highlight w:val="yellow"/>
              </w:rPr>
            </w:pPr>
            <w:r>
              <w:rPr>
                <w:rFonts w:hint="eastAsia" w:ascii="宋体" w:hAnsi="宋体" w:cs="宋体"/>
                <w:kern w:val="0"/>
                <w:szCs w:val="21"/>
              </w:rPr>
              <w:t>350</w:t>
            </w:r>
          </w:p>
        </w:tc>
        <w:tc>
          <w:tcPr>
            <w:tcW w:w="399" w:type="pct"/>
            <w:noWrap/>
            <w:vAlign w:val="center"/>
          </w:tcPr>
          <w:p w14:paraId="2FBD75CC">
            <w:pPr>
              <w:jc w:val="center"/>
              <w:rPr>
                <w:rFonts w:ascii="宋体" w:hAnsi="宋体" w:cs="宋体"/>
                <w:kern w:val="0"/>
                <w:szCs w:val="21"/>
                <w:highlight w:val="yellow"/>
              </w:rPr>
            </w:pPr>
            <w:r>
              <w:rPr>
                <w:rFonts w:hint="eastAsia" w:ascii="宋体" w:hAnsi="宋体" w:cs="宋体"/>
                <w:kern w:val="0"/>
                <w:szCs w:val="21"/>
              </w:rPr>
              <w:t>15</w:t>
            </w:r>
          </w:p>
        </w:tc>
        <w:tc>
          <w:tcPr>
            <w:tcW w:w="432" w:type="pct"/>
            <w:noWrap/>
            <w:vAlign w:val="center"/>
          </w:tcPr>
          <w:p w14:paraId="7158301B">
            <w:pPr>
              <w:jc w:val="center"/>
              <w:rPr>
                <w:rFonts w:ascii="宋体" w:hAnsi="宋体" w:cs="宋体"/>
                <w:kern w:val="0"/>
                <w:szCs w:val="21"/>
              </w:rPr>
            </w:pPr>
            <w:r>
              <w:rPr>
                <w:rFonts w:hint="eastAsia" w:ascii="宋体" w:hAnsi="宋体" w:cs="宋体"/>
                <w:kern w:val="0"/>
                <w:szCs w:val="21"/>
              </w:rPr>
              <w:t>36.4</w:t>
            </w:r>
          </w:p>
        </w:tc>
        <w:tc>
          <w:tcPr>
            <w:tcW w:w="519" w:type="pct"/>
            <w:noWrap/>
            <w:vAlign w:val="center"/>
          </w:tcPr>
          <w:p w14:paraId="5999484E">
            <w:pPr>
              <w:jc w:val="center"/>
              <w:rPr>
                <w:rFonts w:ascii="宋体" w:hAnsi="宋体" w:cs="宋体"/>
                <w:kern w:val="0"/>
                <w:szCs w:val="21"/>
              </w:rPr>
            </w:pPr>
            <w:r>
              <w:rPr>
                <w:rFonts w:hint="eastAsia" w:ascii="宋体" w:hAnsi="宋体" w:cs="宋体"/>
                <w:kern w:val="0"/>
                <w:szCs w:val="21"/>
              </w:rPr>
              <w:t>61.30</w:t>
            </w:r>
          </w:p>
        </w:tc>
        <w:tc>
          <w:tcPr>
            <w:tcW w:w="530" w:type="pct"/>
            <w:noWrap/>
            <w:vAlign w:val="center"/>
          </w:tcPr>
          <w:p w14:paraId="6C356684">
            <w:pPr>
              <w:jc w:val="center"/>
              <w:rPr>
                <w:rFonts w:ascii="宋体" w:hAnsi="宋体" w:cs="宋体"/>
                <w:kern w:val="0"/>
                <w:szCs w:val="21"/>
              </w:rPr>
            </w:pPr>
            <w:r>
              <w:rPr>
                <w:rFonts w:hint="eastAsia" w:ascii="宋体" w:hAnsi="宋体" w:cs="宋体"/>
                <w:kern w:val="0"/>
                <w:szCs w:val="21"/>
              </w:rPr>
              <w:t>46.15</w:t>
            </w:r>
          </w:p>
        </w:tc>
        <w:tc>
          <w:tcPr>
            <w:tcW w:w="743" w:type="pct"/>
            <w:noWrap/>
            <w:vAlign w:val="center"/>
          </w:tcPr>
          <w:p w14:paraId="24955399">
            <w:pPr>
              <w:jc w:val="center"/>
              <w:rPr>
                <w:rFonts w:ascii="宋体" w:hAnsi="宋体" w:cs="宋体"/>
                <w:kern w:val="0"/>
                <w:szCs w:val="21"/>
              </w:rPr>
            </w:pPr>
            <w:r>
              <w:rPr>
                <w:rFonts w:hint="eastAsia" w:ascii="宋体" w:hAnsi="宋体" w:cs="宋体"/>
                <w:kern w:val="0"/>
                <w:szCs w:val="21"/>
              </w:rPr>
              <w:t>170～226</w:t>
            </w:r>
          </w:p>
        </w:tc>
      </w:tr>
      <w:tr w14:paraId="2D728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46" w:type="pct"/>
            <w:noWrap/>
            <w:vAlign w:val="center"/>
          </w:tcPr>
          <w:p w14:paraId="486CA50E">
            <w:pPr>
              <w:jc w:val="center"/>
              <w:rPr>
                <w:rFonts w:ascii="宋体" w:hAnsi="宋体" w:cs="宋体"/>
                <w:kern w:val="0"/>
                <w:szCs w:val="21"/>
              </w:rPr>
            </w:pPr>
            <w:r>
              <w:rPr>
                <w:rFonts w:hint="eastAsia" w:ascii="宋体" w:hAnsi="宋体" w:cs="宋体"/>
                <w:kern w:val="0"/>
                <w:szCs w:val="21"/>
              </w:rPr>
              <w:t>石英砂岩</w:t>
            </w:r>
          </w:p>
        </w:tc>
        <w:tc>
          <w:tcPr>
            <w:tcW w:w="446" w:type="pct"/>
            <w:noWrap/>
            <w:vAlign w:val="center"/>
          </w:tcPr>
          <w:p w14:paraId="3718EE5F">
            <w:pPr>
              <w:jc w:val="center"/>
              <w:rPr>
                <w:rFonts w:ascii="宋体" w:hAnsi="宋体" w:cs="宋体"/>
                <w:kern w:val="0"/>
                <w:szCs w:val="21"/>
              </w:rPr>
            </w:pPr>
            <w:r>
              <w:rPr>
                <w:rFonts w:hint="eastAsia" w:ascii="宋体" w:hAnsi="宋体" w:cs="宋体"/>
                <w:kern w:val="0"/>
                <w:szCs w:val="21"/>
              </w:rPr>
              <w:t>660</w:t>
            </w:r>
          </w:p>
        </w:tc>
        <w:tc>
          <w:tcPr>
            <w:tcW w:w="364" w:type="pct"/>
            <w:noWrap/>
            <w:vAlign w:val="center"/>
          </w:tcPr>
          <w:p w14:paraId="1ECE694F">
            <w:pPr>
              <w:jc w:val="center"/>
              <w:rPr>
                <w:rFonts w:ascii="宋体" w:hAnsi="宋体" w:cs="宋体"/>
                <w:kern w:val="0"/>
                <w:szCs w:val="21"/>
              </w:rPr>
            </w:pPr>
            <w:r>
              <w:rPr>
                <w:rFonts w:hint="eastAsia" w:ascii="宋体" w:hAnsi="宋体" w:cs="宋体"/>
                <w:kern w:val="0"/>
                <w:szCs w:val="21"/>
              </w:rPr>
              <w:t>380</w:t>
            </w:r>
          </w:p>
        </w:tc>
        <w:tc>
          <w:tcPr>
            <w:tcW w:w="522" w:type="pct"/>
            <w:noWrap/>
            <w:vAlign w:val="center"/>
          </w:tcPr>
          <w:p w14:paraId="3E115EB3">
            <w:pPr>
              <w:jc w:val="center"/>
              <w:rPr>
                <w:rFonts w:ascii="宋体" w:hAnsi="宋体" w:cs="宋体"/>
                <w:kern w:val="0"/>
                <w:szCs w:val="21"/>
              </w:rPr>
            </w:pPr>
            <w:r>
              <w:rPr>
                <w:rFonts w:hint="eastAsia" w:ascii="宋体" w:hAnsi="宋体" w:cs="宋体"/>
                <w:kern w:val="0"/>
                <w:szCs w:val="21"/>
              </w:rPr>
              <w:t>31.75</w:t>
            </w:r>
          </w:p>
        </w:tc>
        <w:tc>
          <w:tcPr>
            <w:tcW w:w="398" w:type="pct"/>
            <w:noWrap/>
            <w:vAlign w:val="center"/>
          </w:tcPr>
          <w:p w14:paraId="5208D67A">
            <w:pPr>
              <w:jc w:val="center"/>
              <w:rPr>
                <w:rFonts w:ascii="宋体" w:hAnsi="宋体" w:cs="宋体"/>
                <w:kern w:val="0"/>
                <w:szCs w:val="21"/>
                <w:highlight w:val="yellow"/>
              </w:rPr>
            </w:pPr>
            <w:r>
              <w:rPr>
                <w:rFonts w:hint="eastAsia" w:ascii="宋体" w:hAnsi="宋体" w:cs="宋体"/>
                <w:kern w:val="0"/>
                <w:szCs w:val="21"/>
              </w:rPr>
              <w:t>350</w:t>
            </w:r>
          </w:p>
        </w:tc>
        <w:tc>
          <w:tcPr>
            <w:tcW w:w="399" w:type="pct"/>
            <w:noWrap/>
            <w:vAlign w:val="center"/>
          </w:tcPr>
          <w:p w14:paraId="5F3A8A5A">
            <w:pPr>
              <w:jc w:val="center"/>
              <w:rPr>
                <w:rFonts w:ascii="宋体" w:hAnsi="宋体" w:cs="宋体"/>
                <w:kern w:val="0"/>
                <w:szCs w:val="21"/>
                <w:highlight w:val="yellow"/>
              </w:rPr>
            </w:pPr>
            <w:r>
              <w:rPr>
                <w:rFonts w:hint="eastAsia" w:ascii="宋体" w:hAnsi="宋体" w:cs="宋体"/>
                <w:kern w:val="0"/>
                <w:szCs w:val="21"/>
              </w:rPr>
              <w:t>15</w:t>
            </w:r>
          </w:p>
        </w:tc>
        <w:tc>
          <w:tcPr>
            <w:tcW w:w="432" w:type="pct"/>
            <w:noWrap/>
            <w:vAlign w:val="center"/>
          </w:tcPr>
          <w:p w14:paraId="63E97EB3">
            <w:pPr>
              <w:jc w:val="center"/>
              <w:rPr>
                <w:rFonts w:ascii="宋体" w:hAnsi="宋体" w:cs="宋体"/>
                <w:kern w:val="0"/>
                <w:szCs w:val="21"/>
              </w:rPr>
            </w:pPr>
            <w:r>
              <w:rPr>
                <w:rFonts w:hint="eastAsia" w:ascii="宋体" w:hAnsi="宋体" w:cs="宋体"/>
                <w:kern w:val="0"/>
                <w:szCs w:val="21"/>
              </w:rPr>
              <w:t>39.5</w:t>
            </w:r>
          </w:p>
        </w:tc>
        <w:tc>
          <w:tcPr>
            <w:tcW w:w="519" w:type="pct"/>
            <w:noWrap/>
            <w:vAlign w:val="center"/>
          </w:tcPr>
          <w:p w14:paraId="2DC2F2C9">
            <w:pPr>
              <w:jc w:val="center"/>
              <w:rPr>
                <w:rFonts w:ascii="宋体" w:hAnsi="宋体" w:cs="宋体"/>
                <w:kern w:val="0"/>
                <w:szCs w:val="21"/>
              </w:rPr>
            </w:pPr>
            <w:r>
              <w:rPr>
                <w:rFonts w:hint="eastAsia" w:ascii="宋体" w:hAnsi="宋体" w:cs="宋体"/>
                <w:kern w:val="0"/>
                <w:szCs w:val="21"/>
              </w:rPr>
              <w:t>132.1</w:t>
            </w:r>
          </w:p>
        </w:tc>
        <w:tc>
          <w:tcPr>
            <w:tcW w:w="530" w:type="pct"/>
            <w:noWrap/>
            <w:vAlign w:val="center"/>
          </w:tcPr>
          <w:p w14:paraId="0DDB76F9">
            <w:pPr>
              <w:jc w:val="center"/>
              <w:rPr>
                <w:rFonts w:ascii="宋体" w:hAnsi="宋体" w:cs="宋体"/>
                <w:kern w:val="0"/>
                <w:szCs w:val="21"/>
              </w:rPr>
            </w:pPr>
            <w:r>
              <w:rPr>
                <w:rFonts w:hint="eastAsia" w:ascii="宋体" w:hAnsi="宋体" w:cs="宋体"/>
                <w:kern w:val="0"/>
                <w:szCs w:val="21"/>
              </w:rPr>
              <w:t>78.96</w:t>
            </w:r>
          </w:p>
        </w:tc>
        <w:tc>
          <w:tcPr>
            <w:tcW w:w="743" w:type="pct"/>
            <w:noWrap/>
            <w:vAlign w:val="center"/>
          </w:tcPr>
          <w:p w14:paraId="3362E7FF">
            <w:pPr>
              <w:jc w:val="center"/>
              <w:rPr>
                <w:rFonts w:ascii="宋体" w:hAnsi="宋体" w:cs="宋体"/>
                <w:kern w:val="0"/>
                <w:szCs w:val="21"/>
              </w:rPr>
            </w:pPr>
            <w:r>
              <w:rPr>
                <w:rFonts w:hint="eastAsia" w:ascii="宋体" w:hAnsi="宋体" w:cs="宋体"/>
                <w:kern w:val="0"/>
                <w:szCs w:val="21"/>
              </w:rPr>
              <w:t>170～250</w:t>
            </w:r>
          </w:p>
        </w:tc>
      </w:tr>
    </w:tbl>
    <w:p w14:paraId="7FEF23FB">
      <w:pPr>
        <w:pStyle w:val="5"/>
        <w:spacing w:beforeLines="50" w:line="360" w:lineRule="auto"/>
        <w:ind w:firstLine="562" w:firstLineChars="200"/>
        <w:rPr>
          <w:rFonts w:ascii="宋体" w:hAnsi="宋体" w:cs="宋体"/>
          <w:sz w:val="28"/>
          <w:szCs w:val="28"/>
        </w:rPr>
      </w:pPr>
      <w:r>
        <w:rPr>
          <w:rFonts w:hint="eastAsia" w:ascii="宋体" w:hAnsi="宋体" w:cs="宋体"/>
          <w:sz w:val="28"/>
          <w:szCs w:val="28"/>
        </w:rPr>
        <w:t>4、矿石</w:t>
      </w:r>
      <w:bookmarkEnd w:id="94"/>
      <w:bookmarkEnd w:id="95"/>
      <w:bookmarkEnd w:id="96"/>
      <w:bookmarkEnd w:id="97"/>
      <w:bookmarkEnd w:id="98"/>
      <w:bookmarkEnd w:id="99"/>
      <w:r>
        <w:rPr>
          <w:rFonts w:hint="eastAsia" w:ascii="宋体" w:hAnsi="宋体" w:cs="宋体"/>
          <w:sz w:val="28"/>
          <w:szCs w:val="28"/>
        </w:rPr>
        <w:t>特征</w:t>
      </w:r>
    </w:p>
    <w:p w14:paraId="6C54E5DD">
      <w:pPr>
        <w:keepNext/>
        <w:keepLines/>
        <w:spacing w:line="360" w:lineRule="auto"/>
        <w:ind w:firstLine="560" w:firstLineChars="200"/>
        <w:rPr>
          <w:rFonts w:ascii="宋体" w:hAnsi="宋体" w:cs="宋体"/>
          <w:bCs/>
          <w:sz w:val="28"/>
          <w:szCs w:val="21"/>
        </w:rPr>
      </w:pPr>
      <w:r>
        <w:rPr>
          <w:rFonts w:hint="eastAsia" w:ascii="宋体" w:hAnsi="宋体" w:cs="宋体"/>
          <w:bCs/>
          <w:sz w:val="28"/>
          <w:szCs w:val="21"/>
        </w:rPr>
        <w:t>（1）矿物组成与结构构造</w:t>
      </w:r>
    </w:p>
    <w:p w14:paraId="119ACF4C">
      <w:pPr>
        <w:spacing w:line="360" w:lineRule="auto"/>
        <w:ind w:firstLine="560" w:firstLineChars="200"/>
        <w:rPr>
          <w:rFonts w:ascii="宋体" w:hAnsi="宋体" w:cs="宋体"/>
          <w:sz w:val="28"/>
          <w:szCs w:val="28"/>
        </w:rPr>
      </w:pPr>
      <w:r>
        <w:rPr>
          <w:rFonts w:hint="eastAsia" w:ascii="宋体" w:hAnsi="宋体" w:cs="宋体"/>
          <w:sz w:val="28"/>
          <w:szCs w:val="28"/>
        </w:rPr>
        <w:t>白云岩主要由白云石及少量细-粉砂级碎屑、方解石组成。白云石无色，多呈自形-半自形粉晶粒状，粒度多在0.01-0.06mm之间，少量细晶，闪突起，干涉色高级白，颗粒间紧密镶嵌，含量约87-95%。方解石，无色，他形泥晶粒状，含量约1-5%。</w:t>
      </w:r>
    </w:p>
    <w:p w14:paraId="3FDD88B2">
      <w:pPr>
        <w:spacing w:line="360" w:lineRule="auto"/>
        <w:ind w:firstLine="560" w:firstLineChars="200"/>
        <w:rPr>
          <w:rFonts w:ascii="宋体" w:hAnsi="宋体" w:cs="宋体"/>
          <w:sz w:val="28"/>
          <w:szCs w:val="28"/>
        </w:rPr>
      </w:pPr>
      <w:r>
        <w:rPr>
          <w:rFonts w:hint="eastAsia" w:ascii="宋体" w:hAnsi="宋体" w:cs="宋体"/>
          <w:sz w:val="28"/>
          <w:szCs w:val="28"/>
        </w:rPr>
        <w:t>石英砂岩主要由碎屑物及填隙物组成。碎屑颗粒以砂粒为主，偶见砾石。 砂粒成分主要为石英及少量长石，含量约82%。砂粒多呈次圆状，磨圆度较好，粒度0.1-1.6mm，主要分布在0.3-1.0mm之间，属于中粗粒级，分选中等。填隙物主要由菱铁矿及硅质胶结物组成，含量约12%。</w:t>
      </w:r>
    </w:p>
    <w:p w14:paraId="3B68B7D5">
      <w:pPr>
        <w:keepNext/>
        <w:keepLines/>
        <w:spacing w:line="360" w:lineRule="auto"/>
        <w:ind w:firstLine="560" w:firstLineChars="200"/>
        <w:rPr>
          <w:rFonts w:ascii="宋体" w:hAnsi="宋体" w:cs="宋体"/>
          <w:bCs/>
          <w:sz w:val="28"/>
          <w:szCs w:val="21"/>
        </w:rPr>
      </w:pPr>
      <w:r>
        <w:rPr>
          <w:rFonts w:hint="eastAsia" w:ascii="宋体" w:hAnsi="宋体" w:cs="宋体"/>
          <w:bCs/>
          <w:sz w:val="28"/>
          <w:szCs w:val="21"/>
        </w:rPr>
        <w:t>（2）化学成分</w:t>
      </w:r>
    </w:p>
    <w:p w14:paraId="6DE46BBB">
      <w:pPr>
        <w:spacing w:line="360" w:lineRule="auto"/>
        <w:ind w:firstLine="560" w:firstLineChars="200"/>
        <w:rPr>
          <w:rFonts w:ascii="宋体" w:hAnsi="宋体"/>
          <w:sz w:val="28"/>
          <w:szCs w:val="28"/>
        </w:rPr>
      </w:pPr>
      <w:r>
        <w:rPr>
          <w:rFonts w:hint="eastAsia" w:ascii="宋体" w:hAnsi="宋体"/>
          <w:sz w:val="28"/>
          <w:szCs w:val="28"/>
        </w:rPr>
        <w:t>依据基本分析结果，白云岩、石英砂岩主要化学成分及平均含量如下表：</w:t>
      </w:r>
    </w:p>
    <w:p w14:paraId="471C1B43">
      <w:pPr>
        <w:jc w:val="center"/>
        <w:rPr>
          <w:rFonts w:ascii="宋体" w:hAnsi="宋体" w:cs="宋体"/>
          <w:b/>
          <w:bCs/>
          <w:spacing w:val="-7"/>
          <w:szCs w:val="21"/>
        </w:rPr>
      </w:pPr>
      <w:r>
        <w:rPr>
          <w:rFonts w:hint="eastAsia" w:ascii="宋体" w:hAnsi="宋体" w:cs="宋体"/>
          <w:b/>
          <w:bCs/>
          <w:spacing w:val="-7"/>
          <w:szCs w:val="21"/>
        </w:rPr>
        <w:t>表2-2   矿石化学成分表</w:t>
      </w:r>
    </w:p>
    <w:tbl>
      <w:tblPr>
        <w:tblStyle w:val="42"/>
        <w:tblW w:w="4762" w:type="pct"/>
        <w:tblInd w:w="250" w:type="dxa"/>
        <w:tblLayout w:type="autofit"/>
        <w:tblCellMar>
          <w:top w:w="0" w:type="dxa"/>
          <w:left w:w="108" w:type="dxa"/>
          <w:bottom w:w="0" w:type="dxa"/>
          <w:right w:w="108" w:type="dxa"/>
        </w:tblCellMar>
      </w:tblPr>
      <w:tblGrid>
        <w:gridCol w:w="756"/>
        <w:gridCol w:w="666"/>
        <w:gridCol w:w="666"/>
        <w:gridCol w:w="579"/>
        <w:gridCol w:w="666"/>
        <w:gridCol w:w="666"/>
        <w:gridCol w:w="576"/>
        <w:gridCol w:w="666"/>
        <w:gridCol w:w="666"/>
        <w:gridCol w:w="666"/>
        <w:gridCol w:w="666"/>
        <w:gridCol w:w="666"/>
        <w:gridCol w:w="759"/>
      </w:tblGrid>
      <w:tr w14:paraId="0A94EAA3">
        <w:tblPrEx>
          <w:tblCellMar>
            <w:top w:w="0" w:type="dxa"/>
            <w:left w:w="108" w:type="dxa"/>
            <w:bottom w:w="0" w:type="dxa"/>
            <w:right w:w="108" w:type="dxa"/>
          </w:tblCellMar>
        </w:tblPrEx>
        <w:trPr>
          <w:trHeight w:val="20" w:hRule="atLeast"/>
        </w:trPr>
        <w:tc>
          <w:tcPr>
            <w:tcW w:w="360" w:type="pct"/>
            <w:vMerge w:val="restart"/>
            <w:tcBorders>
              <w:top w:val="single" w:color="000000" w:sz="4" w:space="0"/>
              <w:left w:val="single" w:color="000000" w:sz="4" w:space="0"/>
              <w:bottom w:val="single" w:color="000000" w:sz="4" w:space="0"/>
              <w:right w:val="single" w:color="000000" w:sz="4" w:space="0"/>
            </w:tcBorders>
            <w:noWrap/>
            <w:vAlign w:val="center"/>
          </w:tcPr>
          <w:p w14:paraId="53C717AF">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岩石</w:t>
            </w:r>
          </w:p>
        </w:tc>
        <w:tc>
          <w:tcPr>
            <w:tcW w:w="4640" w:type="pct"/>
            <w:gridSpan w:val="12"/>
            <w:tcBorders>
              <w:top w:val="single" w:color="000000" w:sz="8" w:space="0"/>
              <w:left w:val="nil"/>
              <w:bottom w:val="single" w:color="000000" w:sz="4" w:space="0"/>
              <w:right w:val="single" w:color="000000" w:sz="4" w:space="0"/>
            </w:tcBorders>
            <w:noWrap/>
            <w:vAlign w:val="center"/>
          </w:tcPr>
          <w:p w14:paraId="272C3666">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成     份    分    析  / 10</w:t>
            </w:r>
            <w:r>
              <w:rPr>
                <w:rFonts w:hint="eastAsia" w:ascii="宋体" w:hAnsi="宋体" w:cs="宋体"/>
                <w:b/>
                <w:bCs/>
                <w:color w:val="000000"/>
                <w:kern w:val="0"/>
                <w:sz w:val="18"/>
                <w:szCs w:val="18"/>
                <w:vertAlign w:val="superscript"/>
              </w:rPr>
              <w:t>-2</w:t>
            </w:r>
          </w:p>
        </w:tc>
      </w:tr>
      <w:tr w14:paraId="3775BAFB">
        <w:tblPrEx>
          <w:tblCellMar>
            <w:top w:w="0" w:type="dxa"/>
            <w:left w:w="108" w:type="dxa"/>
            <w:bottom w:w="0" w:type="dxa"/>
            <w:right w:w="108" w:type="dxa"/>
          </w:tblCellMar>
        </w:tblPrEx>
        <w:trPr>
          <w:trHeight w:val="20" w:hRule="atLeast"/>
        </w:trPr>
        <w:tc>
          <w:tcPr>
            <w:tcW w:w="360" w:type="pct"/>
            <w:vMerge w:val="continue"/>
            <w:tcBorders>
              <w:top w:val="single" w:color="000000" w:sz="4" w:space="0"/>
              <w:left w:val="single" w:color="000000" w:sz="4" w:space="0"/>
              <w:bottom w:val="single" w:color="000000" w:sz="4" w:space="0"/>
              <w:right w:val="single" w:color="000000" w:sz="4" w:space="0"/>
            </w:tcBorders>
            <w:noWrap/>
            <w:vAlign w:val="center"/>
          </w:tcPr>
          <w:p w14:paraId="07678E93">
            <w:pPr>
              <w:jc w:val="center"/>
              <w:rPr>
                <w:rFonts w:ascii="宋体" w:hAnsi="宋体" w:cs="宋体"/>
                <w:b/>
                <w:bCs/>
                <w:color w:val="000000"/>
                <w:sz w:val="18"/>
                <w:szCs w:val="18"/>
              </w:rPr>
            </w:pPr>
          </w:p>
        </w:tc>
        <w:tc>
          <w:tcPr>
            <w:tcW w:w="391" w:type="pct"/>
            <w:tcBorders>
              <w:top w:val="single" w:color="000000" w:sz="4" w:space="0"/>
              <w:left w:val="nil"/>
              <w:bottom w:val="single" w:color="000000" w:sz="4" w:space="0"/>
              <w:right w:val="single" w:color="000000" w:sz="4" w:space="0"/>
            </w:tcBorders>
            <w:noWrap/>
            <w:vAlign w:val="center"/>
          </w:tcPr>
          <w:p w14:paraId="19FFD3AE">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SiO</w:t>
            </w:r>
            <w:r>
              <w:rPr>
                <w:rFonts w:hint="eastAsia" w:ascii="宋体" w:hAnsi="宋体" w:cs="宋体"/>
                <w:b/>
                <w:bCs/>
                <w:color w:val="000000"/>
                <w:kern w:val="0"/>
                <w:sz w:val="18"/>
                <w:szCs w:val="18"/>
                <w:vertAlign w:val="subscript"/>
              </w:rPr>
              <w:t>2</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2D8ACAAD">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Al</w:t>
            </w:r>
            <w:r>
              <w:rPr>
                <w:rFonts w:hint="eastAsia" w:ascii="宋体" w:hAnsi="宋体" w:cs="宋体"/>
                <w:b/>
                <w:bCs/>
                <w:color w:val="000000"/>
                <w:kern w:val="0"/>
                <w:sz w:val="18"/>
                <w:szCs w:val="18"/>
                <w:vertAlign w:val="subscript"/>
              </w:rPr>
              <w:t>2</w:t>
            </w:r>
            <w:r>
              <w:rPr>
                <w:rFonts w:hint="eastAsia" w:ascii="宋体" w:hAnsi="宋体" w:cs="宋体"/>
                <w:b/>
                <w:bCs/>
                <w:color w:val="000000"/>
                <w:kern w:val="0"/>
                <w:sz w:val="18"/>
                <w:szCs w:val="18"/>
              </w:rPr>
              <w:t>O</w:t>
            </w:r>
            <w:r>
              <w:rPr>
                <w:rFonts w:hint="eastAsia" w:ascii="宋体" w:hAnsi="宋体" w:cs="宋体"/>
                <w:b/>
                <w:bCs/>
                <w:color w:val="000000"/>
                <w:kern w:val="0"/>
                <w:sz w:val="18"/>
                <w:szCs w:val="18"/>
                <w:vertAlign w:val="subscript"/>
              </w:rPr>
              <w:t>3</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B1CEF38">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Fe</w:t>
            </w:r>
            <w:r>
              <w:rPr>
                <w:rFonts w:hint="eastAsia" w:ascii="宋体" w:hAnsi="宋体" w:cs="宋体"/>
                <w:b/>
                <w:bCs/>
                <w:color w:val="000000"/>
                <w:kern w:val="0"/>
                <w:sz w:val="18"/>
                <w:szCs w:val="18"/>
                <w:vertAlign w:val="subscript"/>
              </w:rPr>
              <w:t>2</w:t>
            </w:r>
            <w:r>
              <w:rPr>
                <w:rFonts w:hint="eastAsia" w:ascii="宋体" w:hAnsi="宋体" w:cs="宋体"/>
                <w:b/>
                <w:bCs/>
                <w:color w:val="000000"/>
                <w:kern w:val="0"/>
                <w:sz w:val="18"/>
                <w:szCs w:val="18"/>
              </w:rPr>
              <w:t>O</w:t>
            </w:r>
            <w:r>
              <w:rPr>
                <w:rFonts w:hint="eastAsia" w:ascii="宋体" w:hAnsi="宋体" w:cs="宋体"/>
                <w:b/>
                <w:bCs/>
                <w:color w:val="000000"/>
                <w:kern w:val="0"/>
                <w:sz w:val="18"/>
                <w:szCs w:val="18"/>
                <w:vertAlign w:val="subscript"/>
              </w:rPr>
              <w:t>3</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39977923">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CaO</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72D62FA9">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MgO</w:t>
            </w:r>
          </w:p>
        </w:tc>
        <w:tc>
          <w:tcPr>
            <w:tcW w:w="338" w:type="pct"/>
            <w:tcBorders>
              <w:top w:val="single" w:color="000000" w:sz="4" w:space="0"/>
              <w:left w:val="single" w:color="000000" w:sz="4" w:space="0"/>
              <w:bottom w:val="single" w:color="000000" w:sz="4" w:space="0"/>
              <w:right w:val="single" w:color="000000" w:sz="4" w:space="0"/>
            </w:tcBorders>
            <w:noWrap/>
            <w:vAlign w:val="center"/>
          </w:tcPr>
          <w:p w14:paraId="062321EB">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K</w:t>
            </w:r>
            <w:r>
              <w:rPr>
                <w:rFonts w:hint="eastAsia" w:ascii="宋体" w:hAnsi="宋体" w:cs="宋体"/>
                <w:b/>
                <w:bCs/>
                <w:color w:val="000000"/>
                <w:kern w:val="0"/>
                <w:sz w:val="18"/>
                <w:szCs w:val="18"/>
                <w:vertAlign w:val="subscript"/>
              </w:rPr>
              <w:t>2</w:t>
            </w:r>
            <w:r>
              <w:rPr>
                <w:rFonts w:hint="eastAsia" w:ascii="宋体" w:hAnsi="宋体" w:cs="宋体"/>
                <w:b/>
                <w:bCs/>
                <w:color w:val="000000"/>
                <w:kern w:val="0"/>
                <w:sz w:val="18"/>
                <w:szCs w:val="18"/>
              </w:rPr>
              <w:t>O</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2C6F141A">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Na</w:t>
            </w:r>
            <w:r>
              <w:rPr>
                <w:rFonts w:hint="eastAsia" w:ascii="宋体" w:hAnsi="宋体" w:cs="宋体"/>
                <w:b/>
                <w:bCs/>
                <w:color w:val="000000"/>
                <w:kern w:val="0"/>
                <w:sz w:val="18"/>
                <w:szCs w:val="18"/>
                <w:vertAlign w:val="subscript"/>
              </w:rPr>
              <w:t>2</w:t>
            </w:r>
            <w:r>
              <w:rPr>
                <w:rFonts w:hint="eastAsia" w:ascii="宋体" w:hAnsi="宋体" w:cs="宋体"/>
                <w:b/>
                <w:bCs/>
                <w:color w:val="000000"/>
                <w:kern w:val="0"/>
                <w:sz w:val="18"/>
                <w:szCs w:val="18"/>
              </w:rPr>
              <w:t>O</w:t>
            </w:r>
          </w:p>
        </w:tc>
        <w:tc>
          <w:tcPr>
            <w:tcW w:w="391" w:type="pct"/>
            <w:tcBorders>
              <w:top w:val="single" w:color="000000" w:sz="4" w:space="0"/>
              <w:left w:val="single" w:color="000000" w:sz="4" w:space="0"/>
              <w:bottom w:val="single" w:color="000000" w:sz="4" w:space="0"/>
              <w:right w:val="nil"/>
            </w:tcBorders>
            <w:noWrap/>
            <w:vAlign w:val="center"/>
          </w:tcPr>
          <w:p w14:paraId="5869B5FE">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P</w:t>
            </w:r>
            <w:r>
              <w:rPr>
                <w:rFonts w:hint="eastAsia" w:ascii="宋体" w:hAnsi="宋体" w:cs="宋体"/>
                <w:b/>
                <w:bCs/>
                <w:color w:val="000000"/>
                <w:kern w:val="0"/>
                <w:sz w:val="18"/>
                <w:szCs w:val="18"/>
                <w:vertAlign w:val="subscript"/>
              </w:rPr>
              <w:t>2</w:t>
            </w:r>
            <w:r>
              <w:rPr>
                <w:rFonts w:hint="eastAsia" w:ascii="宋体" w:hAnsi="宋体" w:cs="宋体"/>
                <w:b/>
                <w:bCs/>
                <w:color w:val="000000"/>
                <w:kern w:val="0"/>
                <w:sz w:val="18"/>
                <w:szCs w:val="18"/>
              </w:rPr>
              <w:t>O</w:t>
            </w:r>
            <w:r>
              <w:rPr>
                <w:rFonts w:hint="eastAsia" w:ascii="宋体" w:hAnsi="宋体" w:cs="宋体"/>
                <w:b/>
                <w:bCs/>
                <w:color w:val="000000"/>
                <w:kern w:val="0"/>
                <w:sz w:val="18"/>
                <w:szCs w:val="18"/>
                <w:vertAlign w:val="subscript"/>
              </w:rPr>
              <w:t>5</w:t>
            </w:r>
          </w:p>
        </w:tc>
        <w:tc>
          <w:tcPr>
            <w:tcW w:w="391" w:type="pct"/>
            <w:tcBorders>
              <w:top w:val="single" w:color="000000" w:sz="4" w:space="0"/>
              <w:left w:val="single" w:color="000000" w:sz="4" w:space="0"/>
              <w:bottom w:val="single" w:color="000000" w:sz="4" w:space="0"/>
              <w:right w:val="nil"/>
            </w:tcBorders>
            <w:noWrap/>
            <w:vAlign w:val="center"/>
          </w:tcPr>
          <w:p w14:paraId="7EC0798B">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SO</w:t>
            </w:r>
            <w:r>
              <w:rPr>
                <w:rFonts w:hint="eastAsia" w:ascii="宋体" w:hAnsi="宋体" w:cs="宋体"/>
                <w:b/>
                <w:bCs/>
                <w:color w:val="000000"/>
                <w:kern w:val="0"/>
                <w:sz w:val="18"/>
                <w:szCs w:val="18"/>
                <w:vertAlign w:val="subscript"/>
              </w:rPr>
              <w:t>3</w:t>
            </w:r>
          </w:p>
        </w:tc>
        <w:tc>
          <w:tcPr>
            <w:tcW w:w="391" w:type="pct"/>
            <w:tcBorders>
              <w:top w:val="single" w:color="000000" w:sz="4" w:space="0"/>
              <w:left w:val="single" w:color="000000" w:sz="4" w:space="0"/>
              <w:bottom w:val="single" w:color="000000" w:sz="4" w:space="0"/>
              <w:right w:val="nil"/>
            </w:tcBorders>
            <w:noWrap/>
            <w:vAlign w:val="center"/>
          </w:tcPr>
          <w:p w14:paraId="0663FFF1">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TiO</w:t>
            </w:r>
            <w:r>
              <w:rPr>
                <w:rFonts w:hint="eastAsia" w:ascii="宋体" w:hAnsi="宋体" w:cs="宋体"/>
                <w:b/>
                <w:bCs/>
                <w:color w:val="000000"/>
                <w:kern w:val="0"/>
                <w:sz w:val="18"/>
                <w:szCs w:val="18"/>
                <w:vertAlign w:val="subscript"/>
              </w:rPr>
              <w:t>2</w:t>
            </w:r>
          </w:p>
        </w:tc>
        <w:tc>
          <w:tcPr>
            <w:tcW w:w="391" w:type="pct"/>
            <w:tcBorders>
              <w:top w:val="single" w:color="000000" w:sz="4" w:space="0"/>
              <w:left w:val="single" w:color="000000" w:sz="4" w:space="0"/>
              <w:bottom w:val="single" w:color="000000" w:sz="4" w:space="0"/>
              <w:right w:val="nil"/>
            </w:tcBorders>
            <w:noWrap/>
            <w:vAlign w:val="center"/>
          </w:tcPr>
          <w:p w14:paraId="471279DF">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Cl</w:t>
            </w:r>
          </w:p>
        </w:tc>
        <w:tc>
          <w:tcPr>
            <w:tcW w:w="445" w:type="pct"/>
            <w:tcBorders>
              <w:top w:val="single" w:color="000000" w:sz="4" w:space="0"/>
              <w:left w:val="single" w:color="000000" w:sz="4" w:space="0"/>
              <w:bottom w:val="single" w:color="000000" w:sz="4" w:space="0"/>
              <w:right w:val="single" w:color="000000" w:sz="8" w:space="0"/>
            </w:tcBorders>
            <w:noWrap/>
            <w:vAlign w:val="center"/>
          </w:tcPr>
          <w:p w14:paraId="082C7DAD">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rPr>
              <w:t>烧失量</w:t>
            </w:r>
          </w:p>
        </w:tc>
      </w:tr>
      <w:tr w14:paraId="4EC6DB22">
        <w:tblPrEx>
          <w:tblCellMar>
            <w:top w:w="0" w:type="dxa"/>
            <w:left w:w="108" w:type="dxa"/>
            <w:bottom w:w="0" w:type="dxa"/>
            <w:right w:w="108" w:type="dxa"/>
          </w:tblCellMar>
        </w:tblPrEx>
        <w:trPr>
          <w:trHeight w:val="20" w:hRule="atLeast"/>
        </w:trPr>
        <w:tc>
          <w:tcPr>
            <w:tcW w:w="360" w:type="pct"/>
            <w:vMerge w:val="restart"/>
            <w:tcBorders>
              <w:top w:val="single" w:color="000000" w:sz="4" w:space="0"/>
              <w:left w:val="single" w:color="000000" w:sz="4" w:space="0"/>
              <w:bottom w:val="single" w:color="000000" w:sz="4" w:space="0"/>
              <w:right w:val="single" w:color="000000" w:sz="4" w:space="0"/>
            </w:tcBorders>
            <w:noWrap/>
            <w:vAlign w:val="center"/>
          </w:tcPr>
          <w:p w14:paraId="152D4A0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白云岩</w:t>
            </w:r>
          </w:p>
        </w:tc>
        <w:tc>
          <w:tcPr>
            <w:tcW w:w="391" w:type="pct"/>
            <w:tcBorders>
              <w:top w:val="single" w:color="000000" w:sz="4" w:space="0"/>
              <w:left w:val="nil"/>
              <w:bottom w:val="single" w:color="000000" w:sz="4" w:space="0"/>
              <w:right w:val="single" w:color="000000" w:sz="4" w:space="0"/>
            </w:tcBorders>
            <w:noWrap/>
            <w:vAlign w:val="center"/>
          </w:tcPr>
          <w:p w14:paraId="6C473C1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19.86</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2DCEE20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2.08</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2EAE08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1.10</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752B5564">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23.12</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199F744D">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16.29</w:t>
            </w:r>
          </w:p>
        </w:tc>
        <w:tc>
          <w:tcPr>
            <w:tcW w:w="338" w:type="pct"/>
            <w:tcBorders>
              <w:top w:val="single" w:color="000000" w:sz="4" w:space="0"/>
              <w:left w:val="single" w:color="000000" w:sz="4" w:space="0"/>
              <w:bottom w:val="single" w:color="000000" w:sz="4" w:space="0"/>
              <w:right w:val="single" w:color="000000" w:sz="4" w:space="0"/>
            </w:tcBorders>
            <w:noWrap/>
            <w:vAlign w:val="center"/>
          </w:tcPr>
          <w:p w14:paraId="5C9CF9E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0.69</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3E1F179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0.025</w:t>
            </w:r>
          </w:p>
        </w:tc>
        <w:tc>
          <w:tcPr>
            <w:tcW w:w="391" w:type="pct"/>
            <w:tcBorders>
              <w:top w:val="single" w:color="000000" w:sz="4" w:space="0"/>
              <w:left w:val="single" w:color="000000" w:sz="4" w:space="0"/>
              <w:bottom w:val="single" w:color="000000" w:sz="4" w:space="0"/>
              <w:right w:val="nil"/>
            </w:tcBorders>
            <w:noWrap/>
            <w:vAlign w:val="center"/>
          </w:tcPr>
          <w:p w14:paraId="5C3849F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0.138</w:t>
            </w:r>
          </w:p>
        </w:tc>
        <w:tc>
          <w:tcPr>
            <w:tcW w:w="391" w:type="pct"/>
            <w:tcBorders>
              <w:top w:val="single" w:color="000000" w:sz="4" w:space="0"/>
              <w:left w:val="single" w:color="000000" w:sz="4" w:space="0"/>
              <w:bottom w:val="single" w:color="000000" w:sz="4" w:space="0"/>
              <w:right w:val="nil"/>
            </w:tcBorders>
            <w:noWrap/>
            <w:vAlign w:val="center"/>
          </w:tcPr>
          <w:p w14:paraId="0152530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0.032</w:t>
            </w:r>
          </w:p>
        </w:tc>
        <w:tc>
          <w:tcPr>
            <w:tcW w:w="391" w:type="pct"/>
            <w:tcBorders>
              <w:top w:val="single" w:color="000000" w:sz="4" w:space="0"/>
              <w:left w:val="single" w:color="000000" w:sz="4" w:space="0"/>
              <w:bottom w:val="single" w:color="000000" w:sz="4" w:space="0"/>
              <w:right w:val="nil"/>
            </w:tcBorders>
            <w:noWrap/>
            <w:vAlign w:val="center"/>
          </w:tcPr>
          <w:p w14:paraId="2693744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0.003</w:t>
            </w:r>
          </w:p>
        </w:tc>
        <w:tc>
          <w:tcPr>
            <w:tcW w:w="391" w:type="pct"/>
            <w:tcBorders>
              <w:top w:val="single" w:color="000000" w:sz="4" w:space="0"/>
              <w:left w:val="single" w:color="000000" w:sz="4" w:space="0"/>
              <w:bottom w:val="single" w:color="000000" w:sz="4" w:space="0"/>
              <w:right w:val="nil"/>
            </w:tcBorders>
            <w:noWrap/>
            <w:vAlign w:val="center"/>
          </w:tcPr>
          <w:p w14:paraId="7C872434">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0.004</w:t>
            </w:r>
          </w:p>
        </w:tc>
        <w:tc>
          <w:tcPr>
            <w:tcW w:w="445" w:type="pct"/>
            <w:tcBorders>
              <w:top w:val="single" w:color="000000" w:sz="4" w:space="0"/>
              <w:left w:val="single" w:color="000000" w:sz="4" w:space="0"/>
              <w:bottom w:val="single" w:color="000000" w:sz="4" w:space="0"/>
              <w:right w:val="single" w:color="000000" w:sz="8" w:space="0"/>
            </w:tcBorders>
            <w:noWrap/>
            <w:vAlign w:val="center"/>
          </w:tcPr>
          <w:p w14:paraId="2FBA8F8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36.26</w:t>
            </w:r>
          </w:p>
        </w:tc>
      </w:tr>
      <w:tr w14:paraId="28BFAB97">
        <w:tblPrEx>
          <w:tblCellMar>
            <w:top w:w="0" w:type="dxa"/>
            <w:left w:w="108" w:type="dxa"/>
            <w:bottom w:w="0" w:type="dxa"/>
            <w:right w:w="108" w:type="dxa"/>
          </w:tblCellMar>
        </w:tblPrEx>
        <w:trPr>
          <w:trHeight w:val="20" w:hRule="atLeast"/>
        </w:trPr>
        <w:tc>
          <w:tcPr>
            <w:tcW w:w="360" w:type="pct"/>
            <w:vMerge w:val="continue"/>
            <w:tcBorders>
              <w:top w:val="single" w:color="000000" w:sz="4" w:space="0"/>
              <w:left w:val="single" w:color="000000" w:sz="4" w:space="0"/>
              <w:bottom w:val="single" w:color="000000" w:sz="4" w:space="0"/>
              <w:right w:val="single" w:color="000000" w:sz="4" w:space="0"/>
            </w:tcBorders>
            <w:noWrap/>
            <w:vAlign w:val="center"/>
          </w:tcPr>
          <w:p w14:paraId="2315639B">
            <w:pPr>
              <w:jc w:val="center"/>
              <w:rPr>
                <w:rFonts w:ascii="宋体" w:hAnsi="宋体" w:cs="宋体"/>
                <w:color w:val="000000"/>
                <w:sz w:val="18"/>
                <w:szCs w:val="18"/>
              </w:rPr>
            </w:pPr>
          </w:p>
        </w:tc>
        <w:tc>
          <w:tcPr>
            <w:tcW w:w="391" w:type="pct"/>
            <w:tcBorders>
              <w:top w:val="single" w:color="000000" w:sz="4" w:space="0"/>
              <w:left w:val="nil"/>
              <w:bottom w:val="single" w:color="000000" w:sz="4" w:space="0"/>
              <w:right w:val="single" w:color="000000" w:sz="4" w:space="0"/>
            </w:tcBorders>
            <w:noWrap/>
            <w:vAlign w:val="center"/>
          </w:tcPr>
          <w:p w14:paraId="65C0AB9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8.98</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09F8C68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1.96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E89FDB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2.28</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03E0537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26.16</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3E39596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17.57</w:t>
            </w:r>
          </w:p>
        </w:tc>
        <w:tc>
          <w:tcPr>
            <w:tcW w:w="338" w:type="pct"/>
            <w:tcBorders>
              <w:top w:val="single" w:color="000000" w:sz="4" w:space="0"/>
              <w:left w:val="single" w:color="000000" w:sz="4" w:space="0"/>
              <w:bottom w:val="single" w:color="000000" w:sz="4" w:space="0"/>
              <w:right w:val="single" w:color="000000" w:sz="4" w:space="0"/>
            </w:tcBorders>
            <w:noWrap/>
            <w:vAlign w:val="center"/>
          </w:tcPr>
          <w:p w14:paraId="00B43E6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0.59</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4AAB20F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0.027</w:t>
            </w:r>
          </w:p>
        </w:tc>
        <w:tc>
          <w:tcPr>
            <w:tcW w:w="391" w:type="pct"/>
            <w:tcBorders>
              <w:top w:val="single" w:color="000000" w:sz="4" w:space="0"/>
              <w:left w:val="single" w:color="000000" w:sz="4" w:space="0"/>
              <w:bottom w:val="single" w:color="000000" w:sz="4" w:space="0"/>
              <w:right w:val="nil"/>
            </w:tcBorders>
            <w:noWrap/>
            <w:vAlign w:val="center"/>
          </w:tcPr>
          <w:p w14:paraId="2F7F08D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0.103</w:t>
            </w:r>
          </w:p>
        </w:tc>
        <w:tc>
          <w:tcPr>
            <w:tcW w:w="391" w:type="pct"/>
            <w:tcBorders>
              <w:top w:val="single" w:color="000000" w:sz="4" w:space="0"/>
              <w:left w:val="single" w:color="000000" w:sz="4" w:space="0"/>
              <w:bottom w:val="single" w:color="000000" w:sz="4" w:space="0"/>
              <w:right w:val="nil"/>
            </w:tcBorders>
            <w:noWrap/>
            <w:vAlign w:val="center"/>
          </w:tcPr>
          <w:p w14:paraId="381C3BE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0.032</w:t>
            </w:r>
          </w:p>
        </w:tc>
        <w:tc>
          <w:tcPr>
            <w:tcW w:w="391" w:type="pct"/>
            <w:tcBorders>
              <w:top w:val="single" w:color="000000" w:sz="4" w:space="0"/>
              <w:left w:val="single" w:color="000000" w:sz="4" w:space="0"/>
              <w:bottom w:val="single" w:color="000000" w:sz="4" w:space="0"/>
              <w:right w:val="nil"/>
            </w:tcBorders>
            <w:noWrap/>
            <w:vAlign w:val="center"/>
          </w:tcPr>
          <w:p w14:paraId="4B6AC01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0.004</w:t>
            </w:r>
          </w:p>
        </w:tc>
        <w:tc>
          <w:tcPr>
            <w:tcW w:w="391" w:type="pct"/>
            <w:tcBorders>
              <w:top w:val="single" w:color="000000" w:sz="4" w:space="0"/>
              <w:left w:val="single" w:color="000000" w:sz="4" w:space="0"/>
              <w:bottom w:val="single" w:color="000000" w:sz="4" w:space="0"/>
              <w:right w:val="nil"/>
            </w:tcBorders>
            <w:noWrap/>
            <w:vAlign w:val="center"/>
          </w:tcPr>
          <w:p w14:paraId="33D4D845">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0.003</w:t>
            </w:r>
          </w:p>
        </w:tc>
        <w:tc>
          <w:tcPr>
            <w:tcW w:w="445" w:type="pct"/>
            <w:tcBorders>
              <w:top w:val="single" w:color="000000" w:sz="4" w:space="0"/>
              <w:left w:val="single" w:color="000000" w:sz="4" w:space="0"/>
              <w:bottom w:val="single" w:color="000000" w:sz="4" w:space="0"/>
              <w:right w:val="single" w:color="000000" w:sz="8" w:space="0"/>
            </w:tcBorders>
            <w:noWrap/>
            <w:vAlign w:val="center"/>
          </w:tcPr>
          <w:p w14:paraId="5852F7E4">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41.26</w:t>
            </w:r>
          </w:p>
        </w:tc>
      </w:tr>
      <w:tr w14:paraId="691E4C58">
        <w:tblPrEx>
          <w:tblCellMar>
            <w:top w:w="0" w:type="dxa"/>
            <w:left w:w="108" w:type="dxa"/>
            <w:bottom w:w="0" w:type="dxa"/>
            <w:right w:w="108" w:type="dxa"/>
          </w:tblCellMar>
        </w:tblPrEx>
        <w:trPr>
          <w:trHeight w:val="20" w:hRule="atLeast"/>
        </w:trPr>
        <w:tc>
          <w:tcPr>
            <w:tcW w:w="360" w:type="pct"/>
            <w:vMerge w:val="continue"/>
            <w:tcBorders>
              <w:top w:val="single" w:color="000000" w:sz="4" w:space="0"/>
              <w:left w:val="single" w:color="000000" w:sz="4" w:space="0"/>
              <w:bottom w:val="single" w:color="000000" w:sz="4" w:space="0"/>
              <w:right w:val="single" w:color="000000" w:sz="4" w:space="0"/>
            </w:tcBorders>
            <w:noWrap/>
            <w:vAlign w:val="center"/>
          </w:tcPr>
          <w:p w14:paraId="7D2F3634">
            <w:pPr>
              <w:jc w:val="center"/>
              <w:rPr>
                <w:rFonts w:ascii="宋体" w:hAnsi="宋体" w:cs="宋体"/>
                <w:color w:val="000000"/>
                <w:sz w:val="18"/>
                <w:szCs w:val="18"/>
              </w:rPr>
            </w:pPr>
          </w:p>
        </w:tc>
        <w:tc>
          <w:tcPr>
            <w:tcW w:w="391" w:type="pct"/>
            <w:tcBorders>
              <w:top w:val="single" w:color="000000" w:sz="4" w:space="0"/>
              <w:left w:val="nil"/>
              <w:bottom w:val="single" w:color="000000" w:sz="4" w:space="0"/>
              <w:right w:val="single" w:color="000000" w:sz="4" w:space="0"/>
            </w:tcBorders>
            <w:noWrap/>
            <w:vAlign w:val="center"/>
          </w:tcPr>
          <w:p w14:paraId="6C3C754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20.67</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A01BB15">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1.54</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E254B5A">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0.87</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404E4A7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22.98</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04B9115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16.34</w:t>
            </w:r>
          </w:p>
        </w:tc>
        <w:tc>
          <w:tcPr>
            <w:tcW w:w="338" w:type="pct"/>
            <w:tcBorders>
              <w:top w:val="single" w:color="000000" w:sz="4" w:space="0"/>
              <w:left w:val="single" w:color="000000" w:sz="4" w:space="0"/>
              <w:bottom w:val="single" w:color="000000" w:sz="4" w:space="0"/>
              <w:right w:val="single" w:color="000000" w:sz="4" w:space="0"/>
            </w:tcBorders>
            <w:noWrap/>
            <w:vAlign w:val="center"/>
          </w:tcPr>
          <w:p w14:paraId="4485537A">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0.59</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16AE0C5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0.021</w:t>
            </w:r>
          </w:p>
        </w:tc>
        <w:tc>
          <w:tcPr>
            <w:tcW w:w="391" w:type="pct"/>
            <w:tcBorders>
              <w:top w:val="single" w:color="000000" w:sz="4" w:space="0"/>
              <w:left w:val="single" w:color="000000" w:sz="4" w:space="0"/>
              <w:bottom w:val="single" w:color="000000" w:sz="4" w:space="0"/>
              <w:right w:val="nil"/>
            </w:tcBorders>
            <w:noWrap/>
            <w:vAlign w:val="center"/>
          </w:tcPr>
          <w:p w14:paraId="1B72329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0.077</w:t>
            </w:r>
          </w:p>
        </w:tc>
        <w:tc>
          <w:tcPr>
            <w:tcW w:w="391" w:type="pct"/>
            <w:tcBorders>
              <w:top w:val="single" w:color="000000" w:sz="4" w:space="0"/>
              <w:left w:val="single" w:color="000000" w:sz="4" w:space="0"/>
              <w:bottom w:val="single" w:color="000000" w:sz="4" w:space="0"/>
              <w:right w:val="nil"/>
            </w:tcBorders>
            <w:noWrap/>
            <w:vAlign w:val="center"/>
          </w:tcPr>
          <w:p w14:paraId="40F82CE5">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0.031</w:t>
            </w:r>
          </w:p>
        </w:tc>
        <w:tc>
          <w:tcPr>
            <w:tcW w:w="391" w:type="pct"/>
            <w:tcBorders>
              <w:top w:val="single" w:color="000000" w:sz="4" w:space="0"/>
              <w:left w:val="single" w:color="000000" w:sz="4" w:space="0"/>
              <w:bottom w:val="single" w:color="000000" w:sz="4" w:space="0"/>
              <w:right w:val="nil"/>
            </w:tcBorders>
            <w:noWrap/>
            <w:vAlign w:val="center"/>
          </w:tcPr>
          <w:p w14:paraId="4A035BA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0.003</w:t>
            </w:r>
          </w:p>
        </w:tc>
        <w:tc>
          <w:tcPr>
            <w:tcW w:w="391" w:type="pct"/>
            <w:tcBorders>
              <w:top w:val="single" w:color="000000" w:sz="4" w:space="0"/>
              <w:left w:val="single" w:color="000000" w:sz="4" w:space="0"/>
              <w:bottom w:val="single" w:color="000000" w:sz="4" w:space="0"/>
              <w:right w:val="nil"/>
            </w:tcBorders>
            <w:noWrap/>
            <w:vAlign w:val="center"/>
          </w:tcPr>
          <w:p w14:paraId="5435960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0.005</w:t>
            </w:r>
          </w:p>
        </w:tc>
        <w:tc>
          <w:tcPr>
            <w:tcW w:w="445" w:type="pct"/>
            <w:tcBorders>
              <w:top w:val="single" w:color="000000" w:sz="4" w:space="0"/>
              <w:left w:val="single" w:color="000000" w:sz="4" w:space="0"/>
              <w:bottom w:val="single" w:color="000000" w:sz="4" w:space="0"/>
              <w:right w:val="single" w:color="000000" w:sz="8" w:space="0"/>
            </w:tcBorders>
            <w:noWrap/>
            <w:vAlign w:val="center"/>
          </w:tcPr>
          <w:p w14:paraId="17957BF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36.02</w:t>
            </w:r>
          </w:p>
        </w:tc>
      </w:tr>
      <w:tr w14:paraId="68C983C3">
        <w:tblPrEx>
          <w:tblCellMar>
            <w:top w:w="0" w:type="dxa"/>
            <w:left w:w="108" w:type="dxa"/>
            <w:bottom w:w="0" w:type="dxa"/>
            <w:right w:w="108" w:type="dxa"/>
          </w:tblCellMar>
        </w:tblPrEx>
        <w:trPr>
          <w:trHeight w:val="20" w:hRule="atLeast"/>
        </w:trPr>
        <w:tc>
          <w:tcPr>
            <w:tcW w:w="360" w:type="pct"/>
            <w:tcBorders>
              <w:top w:val="single" w:color="000000" w:sz="4" w:space="0"/>
              <w:left w:val="single" w:color="000000" w:sz="4" w:space="0"/>
              <w:bottom w:val="single" w:color="000000" w:sz="4" w:space="0"/>
              <w:right w:val="single" w:color="000000" w:sz="4" w:space="0"/>
            </w:tcBorders>
            <w:noWrap/>
            <w:vAlign w:val="center"/>
          </w:tcPr>
          <w:p w14:paraId="6B2354C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平均</w:t>
            </w:r>
          </w:p>
        </w:tc>
        <w:tc>
          <w:tcPr>
            <w:tcW w:w="391" w:type="pct"/>
            <w:tcBorders>
              <w:top w:val="single" w:color="000000" w:sz="4" w:space="0"/>
              <w:left w:val="nil"/>
              <w:bottom w:val="single" w:color="000000" w:sz="4" w:space="0"/>
              <w:right w:val="single" w:color="000000" w:sz="4" w:space="0"/>
            </w:tcBorders>
            <w:noWrap/>
            <w:vAlign w:val="center"/>
          </w:tcPr>
          <w:p w14:paraId="1B69B7F8">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16.50</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2AEB5A1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1.86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20A1508">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1.42</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295CC64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24.09</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BAD447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16.73</w:t>
            </w:r>
          </w:p>
        </w:tc>
        <w:tc>
          <w:tcPr>
            <w:tcW w:w="338" w:type="pct"/>
            <w:tcBorders>
              <w:top w:val="single" w:color="000000" w:sz="4" w:space="0"/>
              <w:left w:val="single" w:color="000000" w:sz="4" w:space="0"/>
              <w:bottom w:val="single" w:color="000000" w:sz="4" w:space="0"/>
              <w:right w:val="single" w:color="000000" w:sz="4" w:space="0"/>
            </w:tcBorders>
            <w:noWrap/>
            <w:vAlign w:val="center"/>
          </w:tcPr>
          <w:p w14:paraId="436D521A">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0.62</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820B6A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0.02</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18B7A01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0.11</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7CDBD1EA">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0.03</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1F61EFC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2E3BDC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53DC904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37.85</w:t>
            </w:r>
          </w:p>
        </w:tc>
      </w:tr>
      <w:tr w14:paraId="5FE3EB99">
        <w:tblPrEx>
          <w:tblCellMar>
            <w:top w:w="0" w:type="dxa"/>
            <w:left w:w="108" w:type="dxa"/>
            <w:bottom w:w="0" w:type="dxa"/>
            <w:right w:w="108" w:type="dxa"/>
          </w:tblCellMar>
        </w:tblPrEx>
        <w:trPr>
          <w:trHeight w:val="20" w:hRule="atLeast"/>
        </w:trPr>
        <w:tc>
          <w:tcPr>
            <w:tcW w:w="360" w:type="pct"/>
            <w:vMerge w:val="restart"/>
            <w:tcBorders>
              <w:top w:val="single" w:color="000000" w:sz="4" w:space="0"/>
              <w:left w:val="single" w:color="000000" w:sz="4" w:space="0"/>
              <w:bottom w:val="single" w:color="000000" w:sz="4" w:space="0"/>
              <w:right w:val="single" w:color="000000" w:sz="4" w:space="0"/>
            </w:tcBorders>
            <w:noWrap/>
            <w:vAlign w:val="center"/>
          </w:tcPr>
          <w:p w14:paraId="6D6C504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石英岩</w:t>
            </w:r>
          </w:p>
        </w:tc>
        <w:tc>
          <w:tcPr>
            <w:tcW w:w="391" w:type="pct"/>
            <w:tcBorders>
              <w:top w:val="single" w:color="000000" w:sz="4" w:space="0"/>
              <w:left w:val="nil"/>
              <w:bottom w:val="single" w:color="000000" w:sz="4" w:space="0"/>
              <w:right w:val="single" w:color="000000" w:sz="4" w:space="0"/>
            </w:tcBorders>
            <w:noWrap/>
            <w:vAlign w:val="center"/>
          </w:tcPr>
          <w:p w14:paraId="57AC488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74.56</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1B6BF43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7.27</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A29E8EA">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2.40</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7DB1E76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4.58</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0853FC6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1.58</w:t>
            </w:r>
          </w:p>
        </w:tc>
        <w:tc>
          <w:tcPr>
            <w:tcW w:w="338" w:type="pct"/>
            <w:tcBorders>
              <w:top w:val="single" w:color="000000" w:sz="4" w:space="0"/>
              <w:left w:val="single" w:color="000000" w:sz="4" w:space="0"/>
              <w:bottom w:val="single" w:color="000000" w:sz="4" w:space="0"/>
              <w:right w:val="single" w:color="000000" w:sz="4" w:space="0"/>
            </w:tcBorders>
            <w:noWrap/>
            <w:vAlign w:val="center"/>
          </w:tcPr>
          <w:p w14:paraId="6E6F3A14">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3.28</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6011263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0.020</w:t>
            </w:r>
          </w:p>
        </w:tc>
        <w:tc>
          <w:tcPr>
            <w:tcW w:w="391" w:type="pct"/>
            <w:tcBorders>
              <w:top w:val="single" w:color="000000" w:sz="4" w:space="0"/>
              <w:left w:val="single" w:color="000000" w:sz="4" w:space="0"/>
              <w:bottom w:val="single" w:color="000000" w:sz="4" w:space="0"/>
              <w:right w:val="nil"/>
            </w:tcBorders>
            <w:noWrap/>
            <w:vAlign w:val="center"/>
          </w:tcPr>
          <w:p w14:paraId="55E3AB58">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0.463</w:t>
            </w:r>
          </w:p>
        </w:tc>
        <w:tc>
          <w:tcPr>
            <w:tcW w:w="391" w:type="pct"/>
            <w:tcBorders>
              <w:top w:val="single" w:color="000000" w:sz="4" w:space="0"/>
              <w:left w:val="single" w:color="000000" w:sz="4" w:space="0"/>
              <w:bottom w:val="single" w:color="000000" w:sz="4" w:space="0"/>
              <w:right w:val="nil"/>
            </w:tcBorders>
            <w:noWrap/>
            <w:vAlign w:val="center"/>
          </w:tcPr>
          <w:p w14:paraId="737FD08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0.015</w:t>
            </w:r>
          </w:p>
        </w:tc>
        <w:tc>
          <w:tcPr>
            <w:tcW w:w="391" w:type="pct"/>
            <w:tcBorders>
              <w:top w:val="single" w:color="000000" w:sz="4" w:space="0"/>
              <w:left w:val="single" w:color="000000" w:sz="4" w:space="0"/>
              <w:bottom w:val="single" w:color="000000" w:sz="4" w:space="0"/>
              <w:right w:val="nil"/>
            </w:tcBorders>
            <w:noWrap/>
            <w:vAlign w:val="center"/>
          </w:tcPr>
          <w:p w14:paraId="121099D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0.014</w:t>
            </w:r>
          </w:p>
        </w:tc>
        <w:tc>
          <w:tcPr>
            <w:tcW w:w="391" w:type="pct"/>
            <w:tcBorders>
              <w:top w:val="single" w:color="000000" w:sz="4" w:space="0"/>
              <w:left w:val="single" w:color="000000" w:sz="4" w:space="0"/>
              <w:bottom w:val="single" w:color="000000" w:sz="4" w:space="0"/>
              <w:right w:val="nil"/>
            </w:tcBorders>
            <w:noWrap/>
            <w:vAlign w:val="center"/>
          </w:tcPr>
          <w:p w14:paraId="31DCFB4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0.006</w:t>
            </w:r>
          </w:p>
        </w:tc>
        <w:tc>
          <w:tcPr>
            <w:tcW w:w="445" w:type="pct"/>
            <w:tcBorders>
              <w:top w:val="single" w:color="000000" w:sz="4" w:space="0"/>
              <w:left w:val="single" w:color="000000" w:sz="4" w:space="0"/>
              <w:bottom w:val="single" w:color="000000" w:sz="4" w:space="0"/>
              <w:right w:val="single" w:color="000000" w:sz="8" w:space="0"/>
            </w:tcBorders>
            <w:noWrap/>
            <w:vAlign w:val="center"/>
          </w:tcPr>
          <w:p w14:paraId="607053B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5.64</w:t>
            </w:r>
          </w:p>
        </w:tc>
      </w:tr>
      <w:tr w14:paraId="5C93026F">
        <w:tblPrEx>
          <w:tblCellMar>
            <w:top w:w="0" w:type="dxa"/>
            <w:left w:w="108" w:type="dxa"/>
            <w:bottom w:w="0" w:type="dxa"/>
            <w:right w:w="108" w:type="dxa"/>
          </w:tblCellMar>
        </w:tblPrEx>
        <w:trPr>
          <w:trHeight w:val="20" w:hRule="atLeast"/>
        </w:trPr>
        <w:tc>
          <w:tcPr>
            <w:tcW w:w="360" w:type="pct"/>
            <w:vMerge w:val="continue"/>
            <w:tcBorders>
              <w:top w:val="single" w:color="000000" w:sz="4" w:space="0"/>
              <w:left w:val="single" w:color="000000" w:sz="4" w:space="0"/>
              <w:bottom w:val="single" w:color="000000" w:sz="4" w:space="0"/>
              <w:right w:val="single" w:color="000000" w:sz="4" w:space="0"/>
            </w:tcBorders>
            <w:noWrap/>
            <w:vAlign w:val="center"/>
          </w:tcPr>
          <w:p w14:paraId="230834DD">
            <w:pPr>
              <w:jc w:val="center"/>
              <w:rPr>
                <w:rFonts w:ascii="宋体" w:hAnsi="宋体" w:cs="宋体"/>
                <w:color w:val="000000"/>
                <w:sz w:val="18"/>
                <w:szCs w:val="18"/>
              </w:rPr>
            </w:pPr>
          </w:p>
        </w:tc>
        <w:tc>
          <w:tcPr>
            <w:tcW w:w="391" w:type="pct"/>
            <w:tcBorders>
              <w:top w:val="single" w:color="000000" w:sz="4" w:space="0"/>
              <w:left w:val="nil"/>
              <w:bottom w:val="single" w:color="000000" w:sz="4" w:space="0"/>
              <w:right w:val="single" w:color="000000" w:sz="4" w:space="0"/>
            </w:tcBorders>
            <w:noWrap/>
            <w:vAlign w:val="center"/>
          </w:tcPr>
          <w:p w14:paraId="16907B4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72.82</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A49136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13.10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7FC8EF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2.84</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79E6F7D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1.06</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9EAB8CD">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1.65</w:t>
            </w:r>
          </w:p>
        </w:tc>
        <w:tc>
          <w:tcPr>
            <w:tcW w:w="338" w:type="pct"/>
            <w:tcBorders>
              <w:top w:val="single" w:color="000000" w:sz="4" w:space="0"/>
              <w:left w:val="single" w:color="000000" w:sz="4" w:space="0"/>
              <w:bottom w:val="single" w:color="000000" w:sz="4" w:space="0"/>
              <w:right w:val="single" w:color="000000" w:sz="4" w:space="0"/>
            </w:tcBorders>
            <w:noWrap/>
            <w:vAlign w:val="center"/>
          </w:tcPr>
          <w:p w14:paraId="1906BFC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5.19</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61EE714A">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0.030</w:t>
            </w:r>
          </w:p>
        </w:tc>
        <w:tc>
          <w:tcPr>
            <w:tcW w:w="391" w:type="pct"/>
            <w:tcBorders>
              <w:top w:val="single" w:color="000000" w:sz="4" w:space="0"/>
              <w:left w:val="single" w:color="000000" w:sz="4" w:space="0"/>
              <w:bottom w:val="single" w:color="000000" w:sz="4" w:space="0"/>
              <w:right w:val="nil"/>
            </w:tcBorders>
            <w:noWrap/>
            <w:vAlign w:val="center"/>
          </w:tcPr>
          <w:p w14:paraId="5A15389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0.307</w:t>
            </w:r>
          </w:p>
        </w:tc>
        <w:tc>
          <w:tcPr>
            <w:tcW w:w="391" w:type="pct"/>
            <w:tcBorders>
              <w:top w:val="single" w:color="000000" w:sz="4" w:space="0"/>
              <w:left w:val="single" w:color="000000" w:sz="4" w:space="0"/>
              <w:bottom w:val="single" w:color="000000" w:sz="4" w:space="0"/>
              <w:right w:val="nil"/>
            </w:tcBorders>
            <w:noWrap/>
            <w:vAlign w:val="center"/>
          </w:tcPr>
          <w:p w14:paraId="7ED4AB1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0.016</w:t>
            </w:r>
          </w:p>
        </w:tc>
        <w:tc>
          <w:tcPr>
            <w:tcW w:w="391" w:type="pct"/>
            <w:tcBorders>
              <w:top w:val="single" w:color="000000" w:sz="4" w:space="0"/>
              <w:left w:val="single" w:color="000000" w:sz="4" w:space="0"/>
              <w:bottom w:val="single" w:color="000000" w:sz="4" w:space="0"/>
              <w:right w:val="nil"/>
            </w:tcBorders>
            <w:noWrap/>
            <w:vAlign w:val="center"/>
          </w:tcPr>
          <w:p w14:paraId="56158FBD">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0.020</w:t>
            </w:r>
          </w:p>
        </w:tc>
        <w:tc>
          <w:tcPr>
            <w:tcW w:w="391" w:type="pct"/>
            <w:tcBorders>
              <w:top w:val="single" w:color="000000" w:sz="4" w:space="0"/>
              <w:left w:val="single" w:color="000000" w:sz="4" w:space="0"/>
              <w:bottom w:val="single" w:color="000000" w:sz="4" w:space="0"/>
              <w:right w:val="nil"/>
            </w:tcBorders>
            <w:noWrap/>
            <w:vAlign w:val="center"/>
          </w:tcPr>
          <w:p w14:paraId="25FCCE9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0.006</w:t>
            </w:r>
          </w:p>
        </w:tc>
        <w:tc>
          <w:tcPr>
            <w:tcW w:w="445" w:type="pct"/>
            <w:tcBorders>
              <w:top w:val="single" w:color="000000" w:sz="4" w:space="0"/>
              <w:left w:val="single" w:color="000000" w:sz="4" w:space="0"/>
              <w:bottom w:val="single" w:color="000000" w:sz="4" w:space="0"/>
              <w:right w:val="single" w:color="000000" w:sz="8" w:space="0"/>
            </w:tcBorders>
            <w:noWrap/>
            <w:vAlign w:val="center"/>
          </w:tcPr>
          <w:p w14:paraId="2E6D01C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2.66</w:t>
            </w:r>
          </w:p>
        </w:tc>
      </w:tr>
      <w:tr w14:paraId="2D0C2C8A">
        <w:tblPrEx>
          <w:tblCellMar>
            <w:top w:w="0" w:type="dxa"/>
            <w:left w:w="108" w:type="dxa"/>
            <w:bottom w:w="0" w:type="dxa"/>
            <w:right w:w="108" w:type="dxa"/>
          </w:tblCellMar>
        </w:tblPrEx>
        <w:trPr>
          <w:trHeight w:val="20" w:hRule="atLeast"/>
        </w:trPr>
        <w:tc>
          <w:tcPr>
            <w:tcW w:w="360" w:type="pct"/>
            <w:vMerge w:val="continue"/>
            <w:tcBorders>
              <w:top w:val="single" w:color="000000" w:sz="4" w:space="0"/>
              <w:left w:val="single" w:color="000000" w:sz="4" w:space="0"/>
              <w:bottom w:val="single" w:color="000000" w:sz="4" w:space="0"/>
              <w:right w:val="single" w:color="000000" w:sz="4" w:space="0"/>
            </w:tcBorders>
            <w:noWrap/>
            <w:vAlign w:val="center"/>
          </w:tcPr>
          <w:p w14:paraId="0F8ABE63">
            <w:pPr>
              <w:jc w:val="center"/>
              <w:rPr>
                <w:rFonts w:ascii="宋体" w:hAnsi="宋体" w:cs="宋体"/>
                <w:color w:val="000000"/>
                <w:sz w:val="18"/>
                <w:szCs w:val="18"/>
              </w:rPr>
            </w:pPr>
          </w:p>
        </w:tc>
        <w:tc>
          <w:tcPr>
            <w:tcW w:w="391" w:type="pct"/>
            <w:tcBorders>
              <w:top w:val="single" w:color="000000" w:sz="4" w:space="0"/>
              <w:left w:val="nil"/>
              <w:bottom w:val="single" w:color="000000" w:sz="4" w:space="0"/>
              <w:right w:val="single" w:color="000000" w:sz="4" w:space="0"/>
            </w:tcBorders>
            <w:noWrap/>
            <w:vAlign w:val="center"/>
          </w:tcPr>
          <w:p w14:paraId="2CD9DDE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80.21</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FC3388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0.95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B871BF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3.69</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120050D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7.16</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214632A">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0.66</w:t>
            </w:r>
          </w:p>
        </w:tc>
        <w:tc>
          <w:tcPr>
            <w:tcW w:w="338" w:type="pct"/>
            <w:tcBorders>
              <w:top w:val="single" w:color="000000" w:sz="4" w:space="0"/>
              <w:left w:val="single" w:color="000000" w:sz="4" w:space="0"/>
              <w:bottom w:val="single" w:color="000000" w:sz="4" w:space="0"/>
              <w:right w:val="single" w:color="000000" w:sz="4" w:space="0"/>
            </w:tcBorders>
            <w:noWrap/>
            <w:vAlign w:val="center"/>
          </w:tcPr>
          <w:p w14:paraId="34ABD954">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0.24</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4884BEE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0.023</w:t>
            </w:r>
          </w:p>
        </w:tc>
        <w:tc>
          <w:tcPr>
            <w:tcW w:w="391" w:type="pct"/>
            <w:tcBorders>
              <w:top w:val="single" w:color="000000" w:sz="4" w:space="0"/>
              <w:left w:val="single" w:color="000000" w:sz="4" w:space="0"/>
              <w:bottom w:val="single" w:color="000000" w:sz="4" w:space="0"/>
              <w:right w:val="nil"/>
            </w:tcBorders>
            <w:noWrap/>
            <w:vAlign w:val="center"/>
          </w:tcPr>
          <w:p w14:paraId="4F07F27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0.141</w:t>
            </w:r>
          </w:p>
        </w:tc>
        <w:tc>
          <w:tcPr>
            <w:tcW w:w="391" w:type="pct"/>
            <w:tcBorders>
              <w:top w:val="single" w:color="000000" w:sz="4" w:space="0"/>
              <w:left w:val="single" w:color="000000" w:sz="4" w:space="0"/>
              <w:bottom w:val="single" w:color="000000" w:sz="4" w:space="0"/>
              <w:right w:val="nil"/>
            </w:tcBorders>
            <w:noWrap/>
            <w:vAlign w:val="center"/>
          </w:tcPr>
          <w:p w14:paraId="40236EE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0.018</w:t>
            </w:r>
          </w:p>
        </w:tc>
        <w:tc>
          <w:tcPr>
            <w:tcW w:w="391" w:type="pct"/>
            <w:tcBorders>
              <w:top w:val="single" w:color="000000" w:sz="4" w:space="0"/>
              <w:left w:val="single" w:color="000000" w:sz="4" w:space="0"/>
              <w:bottom w:val="single" w:color="000000" w:sz="4" w:space="0"/>
              <w:right w:val="nil"/>
            </w:tcBorders>
            <w:noWrap/>
            <w:vAlign w:val="center"/>
          </w:tcPr>
          <w:p w14:paraId="5EF2CEE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0.002</w:t>
            </w:r>
          </w:p>
        </w:tc>
        <w:tc>
          <w:tcPr>
            <w:tcW w:w="391" w:type="pct"/>
            <w:tcBorders>
              <w:top w:val="single" w:color="000000" w:sz="4" w:space="0"/>
              <w:left w:val="single" w:color="000000" w:sz="4" w:space="0"/>
              <w:bottom w:val="single" w:color="000000" w:sz="4" w:space="0"/>
              <w:right w:val="nil"/>
            </w:tcBorders>
            <w:noWrap/>
            <w:vAlign w:val="center"/>
          </w:tcPr>
          <w:p w14:paraId="47D6788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0.005</w:t>
            </w:r>
          </w:p>
        </w:tc>
        <w:tc>
          <w:tcPr>
            <w:tcW w:w="445" w:type="pct"/>
            <w:tcBorders>
              <w:top w:val="single" w:color="000000" w:sz="4" w:space="0"/>
              <w:left w:val="single" w:color="000000" w:sz="4" w:space="0"/>
              <w:bottom w:val="single" w:color="000000" w:sz="4" w:space="0"/>
              <w:right w:val="single" w:color="000000" w:sz="8" w:space="0"/>
            </w:tcBorders>
            <w:noWrap/>
            <w:vAlign w:val="center"/>
          </w:tcPr>
          <w:p w14:paraId="6044A64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6.62</w:t>
            </w:r>
          </w:p>
        </w:tc>
      </w:tr>
      <w:tr w14:paraId="6E44FFA2">
        <w:tblPrEx>
          <w:tblCellMar>
            <w:top w:w="0" w:type="dxa"/>
            <w:left w:w="108" w:type="dxa"/>
            <w:bottom w:w="0" w:type="dxa"/>
            <w:right w:w="108" w:type="dxa"/>
          </w:tblCellMar>
        </w:tblPrEx>
        <w:trPr>
          <w:trHeight w:val="20" w:hRule="atLeast"/>
        </w:trPr>
        <w:tc>
          <w:tcPr>
            <w:tcW w:w="360" w:type="pct"/>
            <w:tcBorders>
              <w:top w:val="single" w:color="000000" w:sz="4" w:space="0"/>
              <w:left w:val="single" w:color="000000" w:sz="4" w:space="0"/>
              <w:bottom w:val="single" w:color="000000" w:sz="4" w:space="0"/>
              <w:right w:val="single" w:color="000000" w:sz="4" w:space="0"/>
            </w:tcBorders>
            <w:noWrap/>
            <w:vAlign w:val="center"/>
          </w:tcPr>
          <w:p w14:paraId="4673A0C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平均</w:t>
            </w:r>
          </w:p>
        </w:tc>
        <w:tc>
          <w:tcPr>
            <w:tcW w:w="391" w:type="pct"/>
            <w:tcBorders>
              <w:top w:val="single" w:color="000000" w:sz="4" w:space="0"/>
              <w:left w:val="nil"/>
              <w:bottom w:val="single" w:color="000000" w:sz="4" w:space="0"/>
              <w:right w:val="single" w:color="000000" w:sz="4" w:space="0"/>
            </w:tcBorders>
            <w:noWrap/>
            <w:vAlign w:val="center"/>
          </w:tcPr>
          <w:p w14:paraId="4FF6DE4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75.86</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070504B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7.11</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7E8103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2.98</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C22572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4.27</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6DD5485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1.30</w:t>
            </w:r>
          </w:p>
        </w:tc>
        <w:tc>
          <w:tcPr>
            <w:tcW w:w="338" w:type="pct"/>
            <w:tcBorders>
              <w:top w:val="single" w:color="000000" w:sz="4" w:space="0"/>
              <w:left w:val="single" w:color="000000" w:sz="4" w:space="0"/>
              <w:bottom w:val="single" w:color="000000" w:sz="4" w:space="0"/>
              <w:right w:val="single" w:color="000000" w:sz="4" w:space="0"/>
            </w:tcBorders>
            <w:noWrap/>
            <w:vAlign w:val="center"/>
          </w:tcPr>
          <w:p w14:paraId="4E4720D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2.91</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0BA843ED">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0.02</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40ABF5B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0.30</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0DEE90A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0.02</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1EA3BDC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0.01</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3EB5FFC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0.01</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5C8B5316">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4.97</w:t>
            </w:r>
          </w:p>
        </w:tc>
      </w:tr>
    </w:tbl>
    <w:p w14:paraId="6978798F">
      <w:pPr>
        <w:keepNext/>
        <w:keepLines/>
        <w:spacing w:line="360" w:lineRule="auto"/>
        <w:ind w:firstLine="560" w:firstLineChars="200"/>
        <w:rPr>
          <w:rFonts w:ascii="宋体" w:hAnsi="宋体" w:cs="宋体"/>
          <w:bCs/>
          <w:sz w:val="28"/>
          <w:szCs w:val="21"/>
        </w:rPr>
      </w:pPr>
      <w:r>
        <w:rPr>
          <w:rFonts w:hint="eastAsia" w:ascii="宋体" w:hAnsi="宋体" w:cs="宋体"/>
          <w:bCs/>
          <w:sz w:val="28"/>
          <w:szCs w:val="21"/>
        </w:rPr>
        <w:t>（3）风化特征</w:t>
      </w:r>
    </w:p>
    <w:p w14:paraId="68819695">
      <w:pPr>
        <w:spacing w:line="360" w:lineRule="auto"/>
        <w:ind w:firstLine="560" w:firstLineChars="200"/>
        <w:rPr>
          <w:rFonts w:ascii="宋体" w:hAnsi="宋体"/>
          <w:sz w:val="28"/>
          <w:szCs w:val="28"/>
        </w:rPr>
      </w:pPr>
      <w:r>
        <w:rPr>
          <w:rFonts w:hint="eastAsia" w:ascii="宋体" w:hAnsi="宋体"/>
          <w:sz w:val="28"/>
          <w:szCs w:val="28"/>
        </w:rPr>
        <w:t>矿体上覆第四系土层厚度较薄，根据收集资料及槽探、钻探勘探工程显示，区内上坡表土层覆盖较薄，沟谷中覆盖层相对较厚，厚度在1.2-13m。</w:t>
      </w:r>
    </w:p>
    <w:p w14:paraId="1D5D6797">
      <w:pPr>
        <w:spacing w:line="360" w:lineRule="auto"/>
        <w:ind w:firstLine="560" w:firstLineChars="200"/>
        <w:rPr>
          <w:rFonts w:ascii="宋体" w:hAnsi="宋体"/>
          <w:sz w:val="28"/>
          <w:szCs w:val="28"/>
        </w:rPr>
      </w:pPr>
      <w:r>
        <w:rPr>
          <w:rFonts w:hint="eastAsia" w:ascii="宋体" w:hAnsi="宋体"/>
          <w:sz w:val="28"/>
          <w:szCs w:val="28"/>
        </w:rPr>
        <w:t>风化层厚度约0-5.81m，风化层岩性主要为石英砂岩，节理裂隙较发育，表层岩石风化较强烈，网状裂隙相对发育，岩石呈碎块状、裂隙处褐铁矿化。风化层下部岩石结构较完整，呈致密块状，厚度稳定，连续性完整。</w:t>
      </w:r>
    </w:p>
    <w:p w14:paraId="2EA91F42">
      <w:pPr>
        <w:pStyle w:val="78"/>
        <w:spacing w:line="360" w:lineRule="auto"/>
        <w:ind w:firstLine="602" w:firstLineChars="200"/>
        <w:rPr>
          <w:rFonts w:ascii="宋体"/>
          <w:szCs w:val="30"/>
        </w:rPr>
      </w:pPr>
      <w:bookmarkStart w:id="100" w:name="_Toc6663"/>
      <w:bookmarkStart w:id="101" w:name="_Toc13826"/>
      <w:bookmarkStart w:id="102" w:name="_Toc8696"/>
      <w:r>
        <w:rPr>
          <w:rFonts w:hint="eastAsia" w:ascii="宋体"/>
          <w:szCs w:val="30"/>
        </w:rPr>
        <w:t>（二）矿床开采地质条件</w:t>
      </w:r>
      <w:bookmarkEnd w:id="79"/>
      <w:bookmarkEnd w:id="100"/>
      <w:bookmarkEnd w:id="101"/>
      <w:bookmarkEnd w:id="102"/>
    </w:p>
    <w:p w14:paraId="62371183">
      <w:pPr>
        <w:pStyle w:val="5"/>
        <w:spacing w:line="360" w:lineRule="auto"/>
        <w:ind w:firstLine="562" w:firstLineChars="200"/>
        <w:rPr>
          <w:rFonts w:ascii="宋体" w:hAnsi="宋体" w:cs="宋体"/>
          <w:sz w:val="28"/>
          <w:szCs w:val="28"/>
        </w:rPr>
      </w:pPr>
      <w:bookmarkStart w:id="103" w:name="_Toc17192"/>
      <w:bookmarkStart w:id="104" w:name="_Toc25794_WPSOffice_Level2"/>
      <w:bookmarkStart w:id="105" w:name="_Toc19787"/>
      <w:bookmarkStart w:id="106" w:name="_Toc17323"/>
      <w:bookmarkStart w:id="107" w:name="_Toc6536"/>
      <w:bookmarkStart w:id="108" w:name="_Toc18925"/>
      <w:bookmarkStart w:id="109" w:name="_Toc28655"/>
      <w:bookmarkStart w:id="110" w:name="_Toc8215"/>
      <w:bookmarkStart w:id="111" w:name="_Toc26727"/>
      <w:r>
        <w:rPr>
          <w:rFonts w:hint="eastAsia" w:ascii="宋体" w:hAnsi="宋体" w:cs="宋体"/>
          <w:sz w:val="28"/>
          <w:szCs w:val="28"/>
        </w:rPr>
        <w:t>1、水文地质</w:t>
      </w:r>
      <w:bookmarkEnd w:id="103"/>
      <w:bookmarkEnd w:id="104"/>
      <w:bookmarkEnd w:id="105"/>
      <w:bookmarkEnd w:id="106"/>
      <w:bookmarkEnd w:id="107"/>
      <w:bookmarkEnd w:id="108"/>
      <w:bookmarkEnd w:id="109"/>
      <w:r>
        <w:rPr>
          <w:rFonts w:hint="eastAsia" w:ascii="宋体" w:hAnsi="宋体" w:cs="宋体"/>
          <w:sz w:val="28"/>
          <w:szCs w:val="28"/>
        </w:rPr>
        <w:t>条件</w:t>
      </w:r>
    </w:p>
    <w:p w14:paraId="6C826DD2">
      <w:pPr>
        <w:spacing w:line="360" w:lineRule="auto"/>
        <w:ind w:firstLine="560" w:firstLineChars="200"/>
        <w:rPr>
          <w:rFonts w:ascii="宋体" w:hAnsi="宋体" w:cs="宋体"/>
          <w:sz w:val="28"/>
          <w:szCs w:val="28"/>
        </w:rPr>
      </w:pPr>
      <w:r>
        <w:rPr>
          <w:rFonts w:hint="eastAsia" w:ascii="宋体" w:hAnsi="宋体" w:cs="宋体"/>
          <w:sz w:val="28"/>
          <w:szCs w:val="28"/>
        </w:rPr>
        <w:t>本区出露地层主要为石英砂岩、白云岩，属以碳酸盐岩类、层状岩类为主的水文地质区的补给－径流区，水文地质边界简单。根据矿区地层岩性，结合区域水文地质条件，将矿区含水层划分为松散岩类砂砾碎石含水层、碳酸盐岩类岩溶裂隙含水层、层状岩类基岩风化裂隙含水层。</w:t>
      </w:r>
    </w:p>
    <w:p w14:paraId="0007FCAC">
      <w:pPr>
        <w:spacing w:line="360" w:lineRule="auto"/>
        <w:ind w:firstLine="560" w:firstLineChars="200"/>
        <w:rPr>
          <w:rFonts w:ascii="宋体" w:hAnsi="宋体" w:cs="宋体"/>
          <w:sz w:val="28"/>
          <w:szCs w:val="28"/>
        </w:rPr>
      </w:pPr>
      <w:r>
        <w:rPr>
          <w:rFonts w:hint="eastAsia" w:ascii="宋体" w:hAnsi="宋体" w:cs="宋体"/>
          <w:sz w:val="28"/>
          <w:szCs w:val="28"/>
        </w:rPr>
        <w:t>①第四系松散岩类砂砾碎石含水层</w:t>
      </w:r>
    </w:p>
    <w:p w14:paraId="577F8191">
      <w:pPr>
        <w:spacing w:line="360" w:lineRule="auto"/>
        <w:ind w:firstLine="560" w:firstLineChars="200"/>
        <w:rPr>
          <w:rFonts w:ascii="宋体" w:hAnsi="宋体" w:cs="宋体"/>
          <w:sz w:val="28"/>
          <w:szCs w:val="28"/>
        </w:rPr>
      </w:pPr>
      <w:r>
        <w:rPr>
          <w:rFonts w:hint="eastAsia" w:ascii="宋体" w:hAnsi="宋体" w:cs="宋体"/>
          <w:sz w:val="28"/>
          <w:szCs w:val="28"/>
        </w:rPr>
        <w:t>分布于矿区两侧山麓及冲沟地带，岩性主要为粘质砂土，底部含少量砂砾、碎石，成因类型为残坡积，土层厚度1.2—13m，本区南侧该层位中基本不含水，北侧仅在雨季含水，富水性差。</w:t>
      </w:r>
    </w:p>
    <w:p w14:paraId="2EBE9CF2">
      <w:pPr>
        <w:spacing w:line="360" w:lineRule="auto"/>
        <w:ind w:firstLine="560" w:firstLineChars="200"/>
        <w:rPr>
          <w:rFonts w:ascii="宋体" w:hAnsi="宋体" w:cs="宋体"/>
          <w:sz w:val="28"/>
          <w:szCs w:val="28"/>
        </w:rPr>
      </w:pPr>
      <w:r>
        <w:rPr>
          <w:rFonts w:hint="eastAsia" w:ascii="宋体" w:hAnsi="宋体" w:cs="宋体"/>
          <w:sz w:val="28"/>
          <w:szCs w:val="28"/>
        </w:rPr>
        <w:t>②基岩裂隙含水层</w:t>
      </w:r>
    </w:p>
    <w:p w14:paraId="7C8873DD">
      <w:pPr>
        <w:spacing w:line="360" w:lineRule="auto"/>
        <w:ind w:firstLine="560" w:firstLineChars="200"/>
        <w:rPr>
          <w:rFonts w:ascii="宋体" w:hAnsi="宋体" w:cs="宋体"/>
          <w:sz w:val="28"/>
          <w:szCs w:val="28"/>
        </w:rPr>
      </w:pPr>
      <w:r>
        <w:rPr>
          <w:rFonts w:hint="eastAsia" w:ascii="宋体" w:hAnsi="宋体" w:cs="宋体"/>
          <w:sz w:val="28"/>
          <w:szCs w:val="28"/>
        </w:rPr>
        <w:t>岩性主要为石英砂岩。含水层主要赋存于近地表石英砂岩风化裂隙中，根据钻孔简易水文地质观测，该含水层含水不均匀，水位埋深一般在14.2-52.6m。该含水层导水性和透水性较好，含水层富水性弱，该含水层地下水补给来源主要为大气降水渗透补给，并向下补给其他含水层。该含水层地下水补给来源主要为大气降水渗透补给。是矿床主要的直接充含水层。</w:t>
      </w:r>
    </w:p>
    <w:p w14:paraId="0BC7F8F7">
      <w:pPr>
        <w:spacing w:line="360" w:lineRule="auto"/>
        <w:ind w:firstLine="560" w:firstLineChars="200"/>
        <w:rPr>
          <w:rFonts w:ascii="宋体" w:hAnsi="宋体" w:cs="宋体"/>
          <w:sz w:val="28"/>
          <w:szCs w:val="28"/>
        </w:rPr>
      </w:pPr>
      <w:r>
        <w:rPr>
          <w:rFonts w:hint="eastAsia" w:ascii="宋体" w:hAnsi="宋体" w:cs="宋体"/>
          <w:sz w:val="28"/>
          <w:szCs w:val="28"/>
        </w:rPr>
        <w:t>③碳酸盐岩岩溶裂隙含水层</w:t>
      </w:r>
    </w:p>
    <w:p w14:paraId="75247FC1">
      <w:pPr>
        <w:spacing w:line="360" w:lineRule="auto"/>
        <w:ind w:firstLine="560" w:firstLineChars="200"/>
        <w:rPr>
          <w:rFonts w:ascii="宋体" w:hAnsi="宋体" w:cs="宋体"/>
          <w:sz w:val="28"/>
          <w:szCs w:val="28"/>
        </w:rPr>
      </w:pPr>
      <w:r>
        <w:rPr>
          <w:rFonts w:hint="eastAsia" w:ascii="宋体" w:hAnsi="宋体" w:cs="宋体"/>
          <w:sz w:val="28"/>
          <w:szCs w:val="28"/>
        </w:rPr>
        <w:t>岩性主要为白云岩，钻孔简易水文地质观测，岩溶裂隙水含水层厚度与岩溶裂隙发育程度有关，本区该含水层岩溶裂隙不发育。补给来源为大气降水和上部含水层补给，排泄以径流排泄为主。</w:t>
      </w:r>
    </w:p>
    <w:p w14:paraId="5934CA1C">
      <w:pPr>
        <w:spacing w:line="360" w:lineRule="auto"/>
        <w:ind w:firstLine="560" w:firstLineChars="200"/>
        <w:rPr>
          <w:rFonts w:ascii="宋体" w:hAnsi="宋体" w:cs="宋体"/>
          <w:sz w:val="28"/>
          <w:szCs w:val="28"/>
        </w:rPr>
      </w:pPr>
      <w:bookmarkStart w:id="112" w:name="_Toc289150240"/>
      <w:r>
        <w:rPr>
          <w:rFonts w:hint="eastAsia" w:ascii="宋体" w:hAnsi="宋体" w:cs="宋体"/>
          <w:sz w:val="28"/>
          <w:szCs w:val="28"/>
        </w:rPr>
        <w:t>矿区范围地形起伏较大，坡度稍陡，地形有利于地表水的径流，不利于降水垂向渗入补给，大气降水绝大部分沿坡面径流汇入沟谷向下游排泄，除一小部分蒸发外，只有少量水渗入地下，补给地下水。地下水的补给来源主要为大气降水。是以裂隙含水层充水为主的矿床，水文地质条件复杂程度属第二类第一型，水文地质条件简单型矿床。</w:t>
      </w:r>
    </w:p>
    <w:bookmarkEnd w:id="112"/>
    <w:p w14:paraId="7B1F52B0">
      <w:pPr>
        <w:pStyle w:val="5"/>
        <w:spacing w:line="360" w:lineRule="auto"/>
        <w:ind w:firstLine="562" w:firstLineChars="200"/>
        <w:rPr>
          <w:rFonts w:ascii="宋体" w:hAnsi="宋体" w:cs="宋体"/>
          <w:sz w:val="28"/>
          <w:szCs w:val="28"/>
        </w:rPr>
      </w:pPr>
      <w:r>
        <w:rPr>
          <w:rFonts w:hint="eastAsia" w:ascii="宋体" w:hAnsi="宋体" w:cs="宋体"/>
          <w:sz w:val="28"/>
          <w:szCs w:val="28"/>
        </w:rPr>
        <w:t>2、工程地质条件</w:t>
      </w:r>
      <w:bookmarkEnd w:id="110"/>
      <w:bookmarkEnd w:id="111"/>
    </w:p>
    <w:p w14:paraId="2CA60226">
      <w:pPr>
        <w:widowControl/>
        <w:spacing w:line="360" w:lineRule="auto"/>
        <w:ind w:firstLine="560" w:firstLineChars="200"/>
        <w:jc w:val="left"/>
        <w:rPr>
          <w:rFonts w:ascii="宋体" w:hAnsi="宋体" w:cs="宋体"/>
          <w:sz w:val="28"/>
          <w:szCs w:val="28"/>
        </w:rPr>
      </w:pPr>
      <w:bookmarkStart w:id="113" w:name="_Toc17688"/>
      <w:bookmarkStart w:id="114" w:name="_Toc8396"/>
      <w:bookmarkStart w:id="115" w:name="_Toc9240"/>
      <w:bookmarkStart w:id="116" w:name="_Toc10914"/>
      <w:r>
        <w:rPr>
          <w:rFonts w:hint="eastAsia" w:ascii="宋体" w:hAnsi="宋体" w:cs="宋体"/>
          <w:sz w:val="28"/>
          <w:szCs w:val="28"/>
        </w:rPr>
        <w:t>根据矿区岩体的工程地质性质，区内分为松散岩类、层状岩类和特殊岩类工程地质岩组。</w:t>
      </w:r>
    </w:p>
    <w:p w14:paraId="6B459C74">
      <w:pPr>
        <w:widowControl/>
        <w:spacing w:line="360" w:lineRule="auto"/>
        <w:ind w:firstLine="560" w:firstLineChars="200"/>
        <w:jc w:val="left"/>
        <w:rPr>
          <w:rFonts w:ascii="宋体" w:hAnsi="宋体" w:cs="宋体"/>
          <w:sz w:val="28"/>
          <w:szCs w:val="28"/>
        </w:rPr>
      </w:pPr>
      <w:r>
        <w:rPr>
          <w:rFonts w:hint="eastAsia" w:ascii="宋体" w:hAnsi="宋体" w:cs="宋体"/>
          <w:sz w:val="28"/>
          <w:szCs w:val="28"/>
        </w:rPr>
        <w:t>①松散岩类工程地质岩组</w:t>
      </w:r>
    </w:p>
    <w:p w14:paraId="599165F7">
      <w:pPr>
        <w:widowControl/>
        <w:spacing w:line="360" w:lineRule="auto"/>
        <w:ind w:firstLine="560" w:firstLineChars="200"/>
        <w:jc w:val="left"/>
        <w:rPr>
          <w:rFonts w:ascii="宋体" w:hAnsi="宋体" w:cs="宋体"/>
          <w:sz w:val="28"/>
          <w:szCs w:val="28"/>
        </w:rPr>
      </w:pPr>
      <w:r>
        <w:rPr>
          <w:rFonts w:hint="eastAsia" w:ascii="宋体" w:hAnsi="宋体" w:cs="宋体"/>
          <w:sz w:val="28"/>
          <w:szCs w:val="28"/>
        </w:rPr>
        <w:t>为沟谷两侧的冲洪积、坡积亚砂土、亚粘土、砂砾卵石等，分布于矿区北侧。赋存于地表，厚度1.2—13m不等，因此对将来开采影响不大。</w:t>
      </w:r>
    </w:p>
    <w:p w14:paraId="7EF5D791">
      <w:pPr>
        <w:widowControl/>
        <w:spacing w:line="360" w:lineRule="auto"/>
        <w:ind w:firstLine="560" w:firstLineChars="200"/>
        <w:jc w:val="left"/>
        <w:rPr>
          <w:rFonts w:ascii="宋体" w:hAnsi="宋体" w:cs="宋体"/>
          <w:sz w:val="28"/>
          <w:szCs w:val="28"/>
        </w:rPr>
      </w:pPr>
      <w:r>
        <w:rPr>
          <w:rFonts w:hint="eastAsia" w:ascii="宋体" w:hAnsi="宋体" w:cs="宋体"/>
          <w:sz w:val="28"/>
          <w:szCs w:val="28"/>
        </w:rPr>
        <w:t>②层岩类工程地质岩组</w:t>
      </w:r>
    </w:p>
    <w:p w14:paraId="065EDB6C">
      <w:pPr>
        <w:widowControl/>
        <w:spacing w:line="360" w:lineRule="auto"/>
        <w:ind w:firstLine="560" w:firstLineChars="200"/>
        <w:jc w:val="left"/>
        <w:rPr>
          <w:rFonts w:ascii="宋体" w:hAnsi="宋体" w:cs="宋体"/>
          <w:sz w:val="28"/>
          <w:szCs w:val="28"/>
        </w:rPr>
      </w:pPr>
      <w:r>
        <w:rPr>
          <w:rFonts w:hint="eastAsia" w:ascii="宋体" w:hAnsi="宋体" w:cs="宋体"/>
          <w:sz w:val="28"/>
          <w:szCs w:val="28"/>
        </w:rPr>
        <w:t>地层岩性主要为石英砂岩，分布于矿区北侧。位于松散岩类工程地质岩组下盘，岩石完整性较差，岩石较破碎，呈碎块状，埋藏深度一般在0～5.8m，厚度一般为18.00m～42.00m，岩石中等破碎，呈0.5～4.5cm的碎块状，平均RQD值40%。基岩RQD值平均63%，岩石质量中等，岩体中等完整。岩体质量指标0.90-1.80，岩体质量中等-良。根据岩石抗压试验数据分析，石英砂岩单轴饱和抗压强度78.96MPa，属于坚硬-较坚硬岩石，工程力学性质较好。</w:t>
      </w:r>
    </w:p>
    <w:p w14:paraId="15A3C99E">
      <w:pPr>
        <w:widowControl/>
        <w:spacing w:line="360" w:lineRule="auto"/>
        <w:ind w:firstLine="560" w:firstLineChars="200"/>
        <w:jc w:val="left"/>
        <w:rPr>
          <w:rFonts w:ascii="宋体" w:hAnsi="宋体" w:cs="宋体"/>
          <w:sz w:val="28"/>
          <w:szCs w:val="28"/>
        </w:rPr>
      </w:pPr>
      <w:r>
        <w:rPr>
          <w:rFonts w:hint="eastAsia" w:ascii="宋体" w:hAnsi="宋体" w:cs="宋体"/>
          <w:sz w:val="28"/>
          <w:szCs w:val="28"/>
        </w:rPr>
        <w:t>③特殊岩类工程地质岩组</w:t>
      </w:r>
    </w:p>
    <w:p w14:paraId="5D5D580D">
      <w:pPr>
        <w:widowControl/>
        <w:spacing w:line="360" w:lineRule="auto"/>
        <w:ind w:firstLine="560" w:firstLineChars="200"/>
        <w:jc w:val="left"/>
        <w:rPr>
          <w:rFonts w:ascii="宋体" w:hAnsi="宋体" w:cs="宋体"/>
          <w:sz w:val="28"/>
          <w:szCs w:val="28"/>
        </w:rPr>
      </w:pPr>
      <w:r>
        <w:rPr>
          <w:rFonts w:hint="eastAsia" w:ascii="宋体" w:hAnsi="宋体" w:cs="宋体"/>
          <w:sz w:val="28"/>
          <w:szCs w:val="28"/>
        </w:rPr>
        <w:t>地层岩性主要为白云岩，分布于矿区南侧。埋藏深度一般在0.5～4.5m，厚度一般为5m～56.0m，岩石较破碎，呈0.5～4.5cm的碎块状，平均RQD值45%。根据钻孔揭露，基岩RQD值平均75%，岩石质量中等-好，岩体中等-较完整，岩体质量指标0.93-1.52，岩体质量中等-良。局部存在溶蚀。根据岩石抗压试验数据分析，白云岩单轴饱和抗压强度46.15MPa，属于较坚硬岩石，稳定性较好，工程力学性质较好。勘查区工程地质条件复杂程度属简单型。</w:t>
      </w:r>
    </w:p>
    <w:bookmarkEnd w:id="113"/>
    <w:bookmarkEnd w:id="114"/>
    <w:p w14:paraId="21654C4B">
      <w:pPr>
        <w:pStyle w:val="5"/>
        <w:spacing w:line="360" w:lineRule="auto"/>
        <w:ind w:firstLine="562" w:firstLineChars="200"/>
        <w:rPr>
          <w:rFonts w:ascii="宋体" w:hAnsi="宋体" w:cs="宋体"/>
          <w:sz w:val="28"/>
          <w:szCs w:val="28"/>
        </w:rPr>
      </w:pPr>
      <w:r>
        <w:rPr>
          <w:rFonts w:hint="eastAsia" w:ascii="宋体" w:hAnsi="宋体" w:cs="宋体"/>
          <w:sz w:val="28"/>
          <w:szCs w:val="28"/>
        </w:rPr>
        <w:t>3、环境地质条件</w:t>
      </w:r>
      <w:bookmarkEnd w:id="115"/>
      <w:bookmarkEnd w:id="116"/>
    </w:p>
    <w:bookmarkEnd w:id="65"/>
    <w:bookmarkEnd w:id="66"/>
    <w:bookmarkEnd w:id="67"/>
    <w:p w14:paraId="033C5046">
      <w:pPr>
        <w:widowControl/>
        <w:spacing w:line="360" w:lineRule="auto"/>
        <w:ind w:firstLine="560" w:firstLineChars="200"/>
        <w:jc w:val="left"/>
        <w:rPr>
          <w:rFonts w:ascii="宋体" w:hAnsi="宋体" w:cs="宋体"/>
          <w:sz w:val="28"/>
          <w:szCs w:val="28"/>
        </w:rPr>
      </w:pPr>
      <w:bookmarkStart w:id="117" w:name="_Toc5874_WPSOffice_Level2"/>
      <w:bookmarkStart w:id="118" w:name="_Toc12157"/>
      <w:bookmarkStart w:id="119" w:name="_Toc252630934"/>
      <w:bookmarkStart w:id="120" w:name="_Toc8670"/>
      <w:bookmarkStart w:id="121" w:name="_Toc2685"/>
      <w:bookmarkStart w:id="122" w:name="_Toc127603394"/>
      <w:bookmarkStart w:id="123" w:name="_Toc159128551"/>
      <w:r>
        <w:rPr>
          <w:rFonts w:hint="eastAsia" w:ascii="宋体" w:hAnsi="宋体" w:cs="宋体"/>
          <w:sz w:val="28"/>
          <w:szCs w:val="28"/>
        </w:rPr>
        <w:t>矿区地处铁岭县李千户镇，区域地震动峰值加速度0.05g，反应谱特征周期0.35s，基本地震烈度分带为Ⅶ度带。根据地震资料记载，本区历史上未发生大的破坏性地震，属地壳基本稳定区域，地壳稳定性较好。</w:t>
      </w:r>
    </w:p>
    <w:p w14:paraId="777744FB">
      <w:pPr>
        <w:pStyle w:val="40"/>
        <w:tabs>
          <w:tab w:val="left" w:pos="0"/>
        </w:tabs>
        <w:spacing w:line="360" w:lineRule="auto"/>
        <w:ind w:firstLine="560" w:firstLineChars="200"/>
        <w:rPr>
          <w:rFonts w:ascii="宋体" w:hAnsi="宋体" w:cs="宋体"/>
          <w:sz w:val="28"/>
          <w:szCs w:val="28"/>
        </w:rPr>
      </w:pPr>
      <w:r>
        <w:rPr>
          <w:rFonts w:hint="eastAsia" w:ascii="宋体" w:hAnsi="宋体" w:cs="宋体"/>
          <w:sz w:val="28"/>
          <w:szCs w:val="28"/>
        </w:rPr>
        <w:t>区内第四系覆盖较少，基岩大部分裸露地表，附近植被不发育。矿区无地表水体，现状未发现泥石流、滑坡、崩塌等地质灾害发生的发生。</w:t>
      </w:r>
      <w:bookmarkEnd w:id="117"/>
      <w:r>
        <w:rPr>
          <w:rFonts w:hint="eastAsia" w:ascii="宋体" w:hAnsi="宋体" w:cs="宋体"/>
          <w:sz w:val="28"/>
          <w:szCs w:val="28"/>
        </w:rPr>
        <w:t>未来矿山开采严格按照要求开采，不会产生地表变形,矿区附近无污染源,地表水、地下水水质良好，矿石和废石不易分解出有害组分。本区地质环境条件质量为简单。</w:t>
      </w:r>
    </w:p>
    <w:p w14:paraId="5C2A5CF6">
      <w:pPr>
        <w:pStyle w:val="5"/>
        <w:spacing w:line="360" w:lineRule="auto"/>
        <w:ind w:firstLine="562" w:firstLineChars="200"/>
        <w:rPr>
          <w:rFonts w:ascii="宋体" w:hAnsi="宋体" w:cs="宋体"/>
          <w:sz w:val="28"/>
          <w:szCs w:val="28"/>
        </w:rPr>
      </w:pPr>
      <w:bookmarkStart w:id="124" w:name="_Toc7759"/>
      <w:r>
        <w:rPr>
          <w:rFonts w:hint="eastAsia" w:ascii="宋体" w:hAnsi="宋体" w:cs="宋体"/>
          <w:sz w:val="28"/>
          <w:szCs w:val="28"/>
        </w:rPr>
        <w:t>4、开采技术条件小结</w:t>
      </w:r>
      <w:bookmarkEnd w:id="124"/>
    </w:p>
    <w:p w14:paraId="5CACBA7D">
      <w:pPr>
        <w:spacing w:line="360" w:lineRule="auto"/>
        <w:ind w:firstLine="560" w:firstLineChars="200"/>
        <w:rPr>
          <w:rFonts w:ascii="宋体" w:hAnsi="宋体" w:cs="宋体"/>
          <w:sz w:val="28"/>
          <w:szCs w:val="28"/>
        </w:rPr>
      </w:pPr>
      <w:bookmarkStart w:id="125" w:name="_Toc30046"/>
      <w:r>
        <w:rPr>
          <w:rFonts w:hint="eastAsia" w:ascii="宋体" w:hAnsi="宋体" w:cs="宋体"/>
          <w:sz w:val="28"/>
          <w:szCs w:val="28"/>
        </w:rPr>
        <w:t>本区是以大气降水为主要充水因素矿床，水文地质条件复杂程度属第一类第一型水文地质条件简单型；工程地质条件复杂程度属简单型。地质环境质量为简单型。综上本矿床开采技术条件简单类型的矿床（Ⅰ）。</w:t>
      </w:r>
      <w:bookmarkEnd w:id="125"/>
    </w:p>
    <w:p w14:paraId="3906C103">
      <w:pPr>
        <w:pStyle w:val="78"/>
        <w:spacing w:line="360" w:lineRule="auto"/>
        <w:ind w:firstLine="602" w:firstLineChars="200"/>
        <w:rPr>
          <w:rFonts w:ascii="宋体"/>
          <w:szCs w:val="30"/>
        </w:rPr>
      </w:pPr>
      <w:bookmarkStart w:id="126" w:name="_Toc15895"/>
      <w:r>
        <w:rPr>
          <w:rFonts w:hint="eastAsia" w:ascii="宋体"/>
          <w:szCs w:val="30"/>
        </w:rPr>
        <w:t>（三）资源储量</w:t>
      </w:r>
      <w:bookmarkEnd w:id="118"/>
      <w:bookmarkEnd w:id="119"/>
      <w:r>
        <w:rPr>
          <w:rFonts w:hint="eastAsia" w:ascii="宋体"/>
          <w:szCs w:val="30"/>
        </w:rPr>
        <w:t>情况</w:t>
      </w:r>
      <w:bookmarkEnd w:id="120"/>
      <w:bookmarkEnd w:id="121"/>
      <w:bookmarkEnd w:id="126"/>
    </w:p>
    <w:bookmarkEnd w:id="122"/>
    <w:bookmarkEnd w:id="123"/>
    <w:p w14:paraId="4A388E4B">
      <w:pPr>
        <w:spacing w:line="360" w:lineRule="auto"/>
        <w:ind w:firstLine="532" w:firstLineChars="200"/>
        <w:jc w:val="left"/>
        <w:rPr>
          <w:rFonts w:ascii="宋体" w:hAnsi="宋体" w:cs="宋体"/>
          <w:sz w:val="28"/>
          <w:szCs w:val="28"/>
        </w:rPr>
      </w:pPr>
      <w:bookmarkStart w:id="127" w:name="_Toc233107269"/>
      <w:bookmarkStart w:id="128" w:name="_Toc7872"/>
      <w:bookmarkStart w:id="129" w:name="_Toc252630935"/>
      <w:bookmarkStart w:id="130" w:name="_Toc233473190"/>
      <w:r>
        <w:rPr>
          <w:rFonts w:hint="eastAsia" w:ascii="宋体" w:hAnsi="宋体" w:cs="宋体"/>
          <w:spacing w:val="-7"/>
          <w:sz w:val="28"/>
          <w:szCs w:val="28"/>
        </w:rPr>
        <w:t>2025年3月，</w:t>
      </w:r>
      <w:r>
        <w:rPr>
          <w:rFonts w:ascii="宋体" w:hAnsi="宋体" w:cs="宋体"/>
          <w:sz w:val="28"/>
          <w:szCs w:val="28"/>
        </w:rPr>
        <w:t>辽宁省第九地质大队有限责任公</w:t>
      </w:r>
      <w:r>
        <w:rPr>
          <w:rFonts w:ascii="宋体" w:hAnsi="宋体" w:cs="宋体"/>
          <w:spacing w:val="1"/>
          <w:sz w:val="28"/>
          <w:szCs w:val="28"/>
        </w:rPr>
        <w:t>提交《</w:t>
      </w:r>
      <w:r>
        <w:rPr>
          <w:rFonts w:hint="eastAsia" w:ascii="宋体" w:hAnsi="宋体" w:cs="宋体"/>
          <w:spacing w:val="1"/>
          <w:sz w:val="28"/>
          <w:szCs w:val="28"/>
        </w:rPr>
        <w:t>辽宁省铁岭县李千户镇金家沟村建筑用白云岩矿详查</w:t>
      </w:r>
      <w:r>
        <w:rPr>
          <w:rFonts w:ascii="宋体" w:hAnsi="宋体" w:cs="宋体"/>
          <w:spacing w:val="1"/>
          <w:sz w:val="28"/>
          <w:szCs w:val="28"/>
        </w:rPr>
        <w:t>报告》，</w:t>
      </w:r>
      <w:r>
        <w:rPr>
          <w:rFonts w:hint="eastAsia" w:ascii="宋体" w:hAnsi="宋体" w:cs="宋体"/>
          <w:sz w:val="28"/>
          <w:szCs w:val="28"/>
        </w:rPr>
        <w:t>勘查程度达到详查，截止到2025年2月28日，求得勘查区内（+170m以上）建筑用石料总计推断+控制（TD+KZ）资源量总计*****万立方米，其中控制（KZ）资源量为*****万立方米，推断（TD）资源量为****万立方米。矿床资源量小于1000万立方米，储量规模为小型。</w:t>
      </w:r>
    </w:p>
    <w:p w14:paraId="322E3FF0">
      <w:pPr>
        <w:spacing w:line="360" w:lineRule="auto"/>
        <w:ind w:firstLine="560" w:firstLineChars="200"/>
        <w:jc w:val="left"/>
        <w:rPr>
          <w:rFonts w:ascii="宋体" w:hAnsi="宋体" w:cs="宋体"/>
          <w:sz w:val="28"/>
          <w:szCs w:val="28"/>
        </w:rPr>
      </w:pPr>
      <w:r>
        <w:rPr>
          <w:rFonts w:hint="eastAsia" w:ascii="宋体" w:hAnsi="宋体" w:cs="宋体"/>
          <w:sz w:val="28"/>
          <w:szCs w:val="28"/>
        </w:rPr>
        <w:t>2025年4月8日，铁岭市自然资源事务服务中心组织评审，出具《辽宁省铁岭县李千户镇金家沟村建筑用白云岩详查报告评审意见书》（铁自事评（储）字[2025]009号），4月10日，铁岭县自然资源局进行备案，出具《辽宁省铁岭县李千户镇金家沟村建筑用白云岩详查报告》评审备案证明》（铁县自然资储备字[2025]01号）。</w:t>
      </w:r>
    </w:p>
    <w:p w14:paraId="12AC4830">
      <w:pPr>
        <w:spacing w:line="360" w:lineRule="auto"/>
        <w:ind w:firstLine="560" w:firstLineChars="200"/>
        <w:jc w:val="left"/>
        <w:rPr>
          <w:rFonts w:ascii="宋体" w:hAnsi="宋体" w:cs="宋体"/>
          <w:sz w:val="28"/>
          <w:szCs w:val="28"/>
        </w:rPr>
      </w:pPr>
      <w:r>
        <w:rPr>
          <w:rFonts w:hint="eastAsia" w:ascii="宋体" w:hAnsi="宋体" w:cs="宋体"/>
          <w:sz w:val="28"/>
          <w:szCs w:val="28"/>
        </w:rPr>
        <w:t>设计依据的《辽宁省铁岭县李千户镇金家沟村建筑用白云岩详查报告》内容比较完整，通过地质填图、钻探工程和槽探工程揭露等勘查手段，基本查明矿体赋存层位、形态、规模、产状、矿石质量特征等，勘查工作方法和手段合适，工程布置原则合理，勘查工程质量较好。报告采用平行垂直断面法进行估算，所采取的技术方法和手段基本合理，能满足详查任务的要求，各项指标完善，可作为编写开发利用方案的依据。</w:t>
      </w:r>
      <w:bookmarkEnd w:id="127"/>
      <w:bookmarkEnd w:id="128"/>
      <w:bookmarkEnd w:id="129"/>
      <w:bookmarkEnd w:id="130"/>
      <w:bookmarkStart w:id="131" w:name="_Toc181797711"/>
      <w:bookmarkStart w:id="132" w:name="_Toc167307742"/>
      <w:bookmarkStart w:id="133" w:name="_Toc24004"/>
      <w:bookmarkStart w:id="134" w:name="_Toc29325"/>
      <w:bookmarkStart w:id="135" w:name="_Toc9247"/>
      <w:bookmarkStart w:id="136" w:name="_Toc20855"/>
      <w:bookmarkStart w:id="137" w:name="_Toc252630936"/>
    </w:p>
    <w:p w14:paraId="733B9626">
      <w:pPr>
        <w:spacing w:line="360" w:lineRule="auto"/>
        <w:jc w:val="center"/>
        <w:outlineLvl w:val="0"/>
        <w:rPr>
          <w:rStyle w:val="48"/>
          <w:rFonts w:ascii="黑体" w:hAnsi="黑体" w:eastAsia="黑体" w:cs="黑体"/>
          <w:color w:val="auto"/>
          <w:szCs w:val="32"/>
          <w:u w:val="none"/>
        </w:rPr>
      </w:pPr>
      <w:r>
        <w:rPr>
          <w:rStyle w:val="48"/>
          <w:rFonts w:hint="eastAsia" w:ascii="黑体" w:hAnsi="黑体" w:eastAsia="黑体" w:cs="黑体"/>
          <w:color w:val="auto"/>
          <w:szCs w:val="32"/>
          <w:u w:val="none"/>
        </w:rPr>
        <w:t>三、矿区范围</w:t>
      </w:r>
      <w:bookmarkEnd w:id="131"/>
      <w:bookmarkEnd w:id="132"/>
      <w:bookmarkEnd w:id="133"/>
      <w:bookmarkEnd w:id="134"/>
      <w:bookmarkEnd w:id="135"/>
    </w:p>
    <w:p w14:paraId="3822784E">
      <w:pPr>
        <w:pStyle w:val="78"/>
        <w:spacing w:line="360" w:lineRule="auto"/>
        <w:ind w:firstLine="602" w:firstLineChars="200"/>
        <w:rPr>
          <w:rFonts w:ascii="宋体"/>
          <w:szCs w:val="30"/>
        </w:rPr>
      </w:pPr>
      <w:bookmarkStart w:id="138" w:name="_Toc181797712"/>
      <w:bookmarkStart w:id="139" w:name="_Toc22296"/>
      <w:bookmarkStart w:id="140" w:name="_Toc2393"/>
      <w:bookmarkStart w:id="141" w:name="_Toc22032"/>
      <w:bookmarkStart w:id="142" w:name="_Toc167307743"/>
      <w:r>
        <w:rPr>
          <w:rFonts w:hint="eastAsia" w:ascii="宋体"/>
          <w:szCs w:val="30"/>
        </w:rPr>
        <w:t>（一）符合矿产资源规划情况</w:t>
      </w:r>
      <w:bookmarkEnd w:id="138"/>
      <w:bookmarkEnd w:id="139"/>
      <w:bookmarkEnd w:id="140"/>
      <w:bookmarkEnd w:id="141"/>
      <w:bookmarkEnd w:id="142"/>
    </w:p>
    <w:p w14:paraId="0F34D2EF">
      <w:pPr>
        <w:spacing w:line="360" w:lineRule="auto"/>
        <w:ind w:left="2" w:right="99" w:firstLine="559"/>
        <w:rPr>
          <w:rFonts w:ascii="宋体" w:hAnsi="宋体" w:cs="宋体"/>
          <w:spacing w:val="2"/>
          <w:sz w:val="28"/>
          <w:szCs w:val="28"/>
        </w:rPr>
      </w:pPr>
      <w:r>
        <w:rPr>
          <w:rFonts w:hint="eastAsia" w:ascii="宋体" w:hAnsi="宋体" w:cs="宋体"/>
          <w:spacing w:val="2"/>
          <w:sz w:val="28"/>
          <w:szCs w:val="28"/>
        </w:rPr>
        <w:t>1、符合《铁岭县矿产资源总体规划（2021-2025）》</w:t>
      </w:r>
    </w:p>
    <w:p w14:paraId="5629C580">
      <w:pPr>
        <w:spacing w:line="360" w:lineRule="auto"/>
        <w:ind w:left="2" w:right="99" w:firstLine="559"/>
        <w:rPr>
          <w:rFonts w:ascii="宋体" w:hAnsi="宋体" w:cs="宋体"/>
          <w:spacing w:val="2"/>
          <w:sz w:val="28"/>
          <w:szCs w:val="28"/>
        </w:rPr>
      </w:pPr>
      <w:r>
        <w:rPr>
          <w:rFonts w:ascii="宋体" w:hAnsi="宋体" w:cs="宋体"/>
          <w:spacing w:val="2"/>
          <w:sz w:val="28"/>
          <w:szCs w:val="28"/>
        </w:rPr>
        <w:t>202</w:t>
      </w:r>
      <w:r>
        <w:rPr>
          <w:rFonts w:hint="eastAsia" w:ascii="宋体" w:hAnsi="宋体" w:cs="宋体"/>
          <w:spacing w:val="2"/>
          <w:sz w:val="28"/>
          <w:szCs w:val="28"/>
        </w:rPr>
        <w:t>3</w:t>
      </w:r>
      <w:r>
        <w:rPr>
          <w:rFonts w:ascii="宋体" w:hAnsi="宋体" w:cs="宋体"/>
          <w:spacing w:val="2"/>
          <w:sz w:val="28"/>
          <w:szCs w:val="28"/>
        </w:rPr>
        <w:t>年</w:t>
      </w:r>
      <w:r>
        <w:rPr>
          <w:rFonts w:hint="eastAsia" w:ascii="宋体" w:hAnsi="宋体" w:cs="宋体"/>
          <w:spacing w:val="2"/>
          <w:sz w:val="28"/>
          <w:szCs w:val="28"/>
        </w:rPr>
        <w:t>5月取得</w:t>
      </w:r>
      <w:r>
        <w:rPr>
          <w:rFonts w:ascii="宋体" w:hAnsi="宋体" w:cs="宋体"/>
          <w:spacing w:val="2"/>
          <w:sz w:val="28"/>
          <w:szCs w:val="28"/>
        </w:rPr>
        <w:t>铁岭</w:t>
      </w:r>
      <w:r>
        <w:rPr>
          <w:rFonts w:hint="eastAsia" w:ascii="宋体" w:hAnsi="宋体" w:cs="宋体"/>
          <w:spacing w:val="2"/>
          <w:sz w:val="28"/>
          <w:szCs w:val="28"/>
        </w:rPr>
        <w:t>市</w:t>
      </w:r>
      <w:r>
        <w:rPr>
          <w:rFonts w:ascii="宋体" w:hAnsi="宋体" w:cs="宋体"/>
          <w:spacing w:val="2"/>
          <w:sz w:val="28"/>
          <w:szCs w:val="28"/>
        </w:rPr>
        <w:t>自然资源局</w:t>
      </w:r>
      <w:r>
        <w:rPr>
          <w:rFonts w:hint="eastAsia" w:ascii="宋体" w:hAnsi="宋体" w:cs="宋体"/>
          <w:spacing w:val="2"/>
          <w:sz w:val="28"/>
          <w:szCs w:val="28"/>
        </w:rPr>
        <w:t>批复</w:t>
      </w:r>
      <w:r>
        <w:rPr>
          <w:rFonts w:ascii="宋体" w:hAnsi="宋体" w:cs="宋体"/>
          <w:spacing w:val="2"/>
          <w:sz w:val="28"/>
          <w:szCs w:val="28"/>
        </w:rPr>
        <w:t>，经铁岭县人民政府同意，</w:t>
      </w:r>
      <w:r>
        <w:rPr>
          <w:rFonts w:hint="eastAsia" w:ascii="宋体" w:hAnsi="宋体" w:cs="宋体"/>
          <w:spacing w:val="2"/>
          <w:sz w:val="28"/>
          <w:szCs w:val="28"/>
        </w:rPr>
        <w:t>铁岭县自然</w:t>
      </w:r>
      <w:r>
        <w:rPr>
          <w:rFonts w:ascii="宋体" w:hAnsi="宋体" w:cs="宋体"/>
          <w:spacing w:val="2"/>
          <w:sz w:val="28"/>
          <w:szCs w:val="28"/>
        </w:rPr>
        <w:t>资源局发布实施了《</w:t>
      </w:r>
      <w:r>
        <w:rPr>
          <w:rFonts w:hint="eastAsia" w:ascii="宋体" w:hAnsi="宋体" w:cs="宋体"/>
          <w:spacing w:val="2"/>
          <w:sz w:val="28"/>
          <w:szCs w:val="28"/>
        </w:rPr>
        <w:t>铁岭县</w:t>
      </w:r>
      <w:r>
        <w:rPr>
          <w:rFonts w:ascii="宋体" w:hAnsi="宋体" w:cs="宋体"/>
          <w:spacing w:val="2"/>
          <w:sz w:val="28"/>
          <w:szCs w:val="28"/>
        </w:rPr>
        <w:t>矿产资源总体规划（2021-2025年）》，《规划》中指出：“</w:t>
      </w:r>
      <w:r>
        <w:rPr>
          <w:rFonts w:hint="eastAsia" w:ascii="宋体" w:hAnsi="宋体" w:cs="宋体"/>
          <w:spacing w:val="2"/>
          <w:sz w:val="28"/>
          <w:szCs w:val="28"/>
        </w:rPr>
        <w:t>从严控制普通建筑用砂石采矿权设置数量和布局，引导砂石资源集中开采、规模开采、绿色开采。鼓励砂石资源规模化开发、绿色开采，铁岭县（含开发区）划定砂石土矿集中开采区7 处，实行总量控制，接续开采</w:t>
      </w:r>
      <w:r>
        <w:rPr>
          <w:rFonts w:ascii="宋体" w:hAnsi="宋体" w:cs="宋体"/>
          <w:spacing w:val="2"/>
          <w:sz w:val="28"/>
          <w:szCs w:val="28"/>
        </w:rPr>
        <w:t>”。</w:t>
      </w:r>
    </w:p>
    <w:p w14:paraId="38080101">
      <w:pPr>
        <w:spacing w:line="360" w:lineRule="auto"/>
        <w:ind w:left="2" w:right="99" w:firstLine="559"/>
        <w:rPr>
          <w:rFonts w:ascii="宋体" w:hAnsi="宋体" w:cs="宋体"/>
          <w:spacing w:val="2"/>
          <w:sz w:val="28"/>
          <w:szCs w:val="28"/>
        </w:rPr>
      </w:pPr>
      <w:r>
        <w:rPr>
          <w:rFonts w:ascii="宋体" w:hAnsi="宋体" w:cs="宋体"/>
          <w:spacing w:val="2"/>
          <w:sz w:val="28"/>
          <w:szCs w:val="28"/>
        </w:rPr>
        <w:t>本</w:t>
      </w:r>
      <w:r>
        <w:rPr>
          <w:rFonts w:hint="eastAsia" w:ascii="宋体" w:hAnsi="宋体" w:cs="宋体"/>
          <w:spacing w:val="2"/>
          <w:sz w:val="28"/>
          <w:szCs w:val="28"/>
        </w:rPr>
        <w:t>次申请矿区范围位于“专栏七 铁岭县集中开采区设置区划表”</w:t>
      </w:r>
      <w:r>
        <w:rPr>
          <w:rFonts w:ascii="宋体" w:hAnsi="宋体" w:cs="宋体"/>
          <w:spacing w:val="2"/>
          <w:sz w:val="28"/>
          <w:szCs w:val="28"/>
        </w:rPr>
        <w:t xml:space="preserve"> 、“编号</w:t>
      </w:r>
      <w:r>
        <w:rPr>
          <w:rFonts w:hint="eastAsia" w:ascii="宋体" w:hAnsi="宋体" w:cs="宋体"/>
          <w:spacing w:val="2"/>
          <w:sz w:val="28"/>
          <w:szCs w:val="28"/>
        </w:rPr>
        <w:t>1 铁岭县李千户镇金家沟村建筑用白云岩集中开采区</w:t>
      </w:r>
      <w:r>
        <w:rPr>
          <w:rFonts w:ascii="宋体" w:hAnsi="宋体" w:cs="宋体"/>
          <w:spacing w:val="2"/>
          <w:sz w:val="28"/>
          <w:szCs w:val="28"/>
        </w:rPr>
        <w:t>”范围内</w:t>
      </w:r>
      <w:r>
        <w:rPr>
          <w:rFonts w:ascii="宋体" w:hAnsi="宋体" w:cs="宋体"/>
          <w:spacing w:val="3"/>
          <w:sz w:val="28"/>
          <w:szCs w:val="28"/>
        </w:rPr>
        <w:t>，符合《规划》</w:t>
      </w:r>
      <w:r>
        <w:rPr>
          <w:rFonts w:ascii="宋体" w:hAnsi="宋体" w:cs="宋体"/>
          <w:spacing w:val="2"/>
          <w:sz w:val="28"/>
          <w:szCs w:val="28"/>
        </w:rPr>
        <w:t>的要</w:t>
      </w:r>
      <w:r>
        <w:rPr>
          <w:rFonts w:ascii="宋体" w:hAnsi="宋体" w:cs="宋体"/>
          <w:spacing w:val="-6"/>
          <w:sz w:val="28"/>
          <w:szCs w:val="28"/>
        </w:rPr>
        <w:t>求。</w:t>
      </w:r>
    </w:p>
    <w:p w14:paraId="284F150E">
      <w:pPr>
        <w:spacing w:line="360" w:lineRule="auto"/>
        <w:ind w:firstLine="560" w:firstLineChars="200"/>
        <w:rPr>
          <w:rFonts w:ascii="宋体" w:hAnsi="宋体"/>
          <w:sz w:val="28"/>
          <w:szCs w:val="28"/>
        </w:rPr>
      </w:pPr>
      <w:r>
        <w:rPr>
          <w:rFonts w:hint="eastAsia" w:ascii="宋体" w:hAnsi="宋体"/>
          <w:sz w:val="28"/>
          <w:szCs w:val="28"/>
        </w:rPr>
        <w:t>2、符合</w:t>
      </w:r>
      <w:r>
        <w:rPr>
          <w:rFonts w:ascii="宋体" w:hAnsi="宋体"/>
          <w:sz w:val="28"/>
          <w:szCs w:val="28"/>
        </w:rPr>
        <w:t>最低开采规模的要求</w:t>
      </w:r>
    </w:p>
    <w:p w14:paraId="17DFE95E">
      <w:pPr>
        <w:spacing w:line="360" w:lineRule="auto"/>
        <w:ind w:left="2" w:right="99" w:firstLine="559"/>
        <w:rPr>
          <w:rFonts w:ascii="宋体" w:hAnsi="宋体" w:cs="宋体"/>
          <w:spacing w:val="2"/>
          <w:sz w:val="28"/>
          <w:szCs w:val="28"/>
        </w:rPr>
      </w:pPr>
      <w:r>
        <w:rPr>
          <w:rFonts w:ascii="宋体" w:hAnsi="宋体" w:cs="宋体"/>
          <w:spacing w:val="2"/>
          <w:sz w:val="28"/>
          <w:szCs w:val="28"/>
        </w:rPr>
        <w:t>2022年11月7日，辽宁省自然资源厅发布了《关于公布新一轮矿 产资源总体规划确定重点矿种最低开采规模的公告》：202</w:t>
      </w:r>
      <w:r>
        <w:rPr>
          <w:rFonts w:hint="eastAsia" w:ascii="宋体" w:hAnsi="宋体" w:cs="宋体"/>
          <w:spacing w:val="2"/>
          <w:sz w:val="28"/>
          <w:szCs w:val="28"/>
        </w:rPr>
        <w:t>3</w:t>
      </w:r>
      <w:r>
        <w:rPr>
          <w:rFonts w:ascii="宋体" w:hAnsi="宋体" w:cs="宋体"/>
          <w:spacing w:val="2"/>
          <w:sz w:val="28"/>
          <w:szCs w:val="28"/>
        </w:rPr>
        <w:t>年</w:t>
      </w:r>
      <w:r>
        <w:rPr>
          <w:rFonts w:hint="eastAsia" w:ascii="宋体" w:hAnsi="宋体" w:cs="宋体"/>
          <w:spacing w:val="2"/>
          <w:sz w:val="28"/>
          <w:szCs w:val="28"/>
        </w:rPr>
        <w:t>5月铁岭县自然资源局发布实施《铁岭县矿产资源总体规划（2021-2025）》，建筑</w:t>
      </w:r>
      <w:r>
        <w:rPr>
          <w:rFonts w:ascii="宋体" w:hAnsi="宋体" w:cs="宋体"/>
          <w:spacing w:val="2"/>
          <w:sz w:val="28"/>
          <w:szCs w:val="28"/>
        </w:rPr>
        <w:t>用</w:t>
      </w:r>
      <w:r>
        <w:rPr>
          <w:rFonts w:hint="eastAsia" w:ascii="宋体" w:hAnsi="宋体" w:cs="宋体"/>
          <w:spacing w:val="2"/>
          <w:sz w:val="28"/>
          <w:szCs w:val="28"/>
        </w:rPr>
        <w:t>砂</w:t>
      </w:r>
      <w:r>
        <w:rPr>
          <w:rFonts w:ascii="宋体" w:hAnsi="宋体" w:cs="宋体"/>
          <w:spacing w:val="2"/>
          <w:sz w:val="28"/>
          <w:szCs w:val="28"/>
        </w:rPr>
        <w:t>石土的要求最低生产规模为</w:t>
      </w:r>
      <w:r>
        <w:rPr>
          <w:rFonts w:hint="eastAsia" w:ascii="宋体" w:hAnsi="宋体" w:cs="宋体"/>
          <w:spacing w:val="2"/>
          <w:sz w:val="28"/>
          <w:szCs w:val="28"/>
        </w:rPr>
        <w:t>20</w:t>
      </w:r>
      <w:r>
        <w:rPr>
          <w:rFonts w:ascii="宋体" w:hAnsi="宋体" w:cs="宋体"/>
          <w:spacing w:val="2"/>
          <w:sz w:val="28"/>
          <w:szCs w:val="28"/>
        </w:rPr>
        <w:t>万</w:t>
      </w:r>
      <w:r>
        <w:rPr>
          <w:rFonts w:hint="eastAsia" w:ascii="宋体" w:hAnsi="宋体" w:cs="宋体"/>
          <w:spacing w:val="2"/>
          <w:sz w:val="28"/>
          <w:szCs w:val="28"/>
        </w:rPr>
        <w:t>m</w:t>
      </w:r>
      <w:r>
        <w:rPr>
          <w:rFonts w:hint="eastAsia" w:ascii="宋体" w:hAnsi="宋体" w:cs="宋体"/>
          <w:spacing w:val="2"/>
          <w:sz w:val="28"/>
          <w:szCs w:val="28"/>
          <w:vertAlign w:val="superscript"/>
        </w:rPr>
        <w:t>3</w:t>
      </w:r>
      <w:r>
        <w:rPr>
          <w:rFonts w:ascii="宋体" w:hAnsi="宋体" w:cs="宋体"/>
          <w:spacing w:val="2"/>
          <w:sz w:val="28"/>
          <w:szCs w:val="28"/>
        </w:rPr>
        <w:t>/</w:t>
      </w:r>
      <w:r>
        <w:rPr>
          <w:rFonts w:hint="eastAsia" w:ascii="宋体" w:hAnsi="宋体" w:cs="宋体"/>
          <w:spacing w:val="2"/>
          <w:sz w:val="28"/>
          <w:szCs w:val="28"/>
        </w:rPr>
        <w:t>年</w:t>
      </w:r>
      <w:r>
        <w:rPr>
          <w:rFonts w:ascii="宋体" w:hAnsi="宋体" w:cs="宋体"/>
          <w:spacing w:val="2"/>
          <w:sz w:val="28"/>
          <w:szCs w:val="28"/>
        </w:rPr>
        <w:t>。</w:t>
      </w:r>
    </w:p>
    <w:p w14:paraId="1246CE91">
      <w:pPr>
        <w:spacing w:line="360" w:lineRule="auto"/>
        <w:ind w:left="2" w:right="99" w:firstLine="559"/>
        <w:rPr>
          <w:rFonts w:ascii="宋体" w:hAnsi="宋体" w:cs="宋体"/>
          <w:spacing w:val="2"/>
          <w:sz w:val="28"/>
          <w:szCs w:val="28"/>
        </w:rPr>
      </w:pPr>
      <w:r>
        <w:rPr>
          <w:rFonts w:ascii="宋体" w:hAnsi="宋体" w:cs="宋体"/>
          <w:spacing w:val="2"/>
          <w:sz w:val="28"/>
          <w:szCs w:val="28"/>
        </w:rPr>
        <w:t>本矿区设计生产规模为</w:t>
      </w:r>
      <w:r>
        <w:rPr>
          <w:rFonts w:hint="eastAsia" w:ascii="宋体" w:hAnsi="宋体" w:cs="宋体"/>
          <w:spacing w:val="2"/>
          <w:sz w:val="28"/>
          <w:szCs w:val="28"/>
        </w:rPr>
        <w:t>43</w:t>
      </w:r>
      <w:r>
        <w:rPr>
          <w:rFonts w:ascii="宋体" w:hAnsi="宋体" w:cs="宋体"/>
          <w:spacing w:val="2"/>
          <w:sz w:val="28"/>
          <w:szCs w:val="28"/>
        </w:rPr>
        <w:t>万</w:t>
      </w:r>
      <w:r>
        <w:rPr>
          <w:rFonts w:hint="eastAsia" w:ascii="宋体" w:hAnsi="宋体" w:cs="宋体"/>
          <w:spacing w:val="2"/>
          <w:sz w:val="28"/>
          <w:szCs w:val="28"/>
        </w:rPr>
        <w:t>m</w:t>
      </w:r>
      <w:r>
        <w:rPr>
          <w:rFonts w:hint="eastAsia" w:ascii="宋体" w:hAnsi="宋体" w:cs="宋体"/>
          <w:spacing w:val="2"/>
          <w:sz w:val="28"/>
          <w:szCs w:val="28"/>
          <w:vertAlign w:val="superscript"/>
        </w:rPr>
        <w:t>3</w:t>
      </w:r>
      <w:r>
        <w:rPr>
          <w:rFonts w:ascii="宋体" w:hAnsi="宋体" w:cs="宋体"/>
          <w:spacing w:val="2"/>
          <w:sz w:val="28"/>
          <w:szCs w:val="28"/>
        </w:rPr>
        <w:t>/</w:t>
      </w:r>
      <w:r>
        <w:rPr>
          <w:rFonts w:hint="eastAsia" w:ascii="宋体" w:hAnsi="宋体" w:cs="宋体"/>
          <w:spacing w:val="2"/>
          <w:sz w:val="28"/>
          <w:szCs w:val="28"/>
        </w:rPr>
        <w:t>年</w:t>
      </w:r>
      <w:r>
        <w:rPr>
          <w:rFonts w:ascii="宋体" w:hAnsi="宋体" w:cs="宋体"/>
          <w:spacing w:val="2"/>
          <w:sz w:val="28"/>
          <w:szCs w:val="28"/>
        </w:rPr>
        <w:t>，满足最低开采规模的要求，建设规模为中型。</w:t>
      </w:r>
    </w:p>
    <w:p w14:paraId="0C0CF4BC">
      <w:pPr>
        <w:pStyle w:val="78"/>
        <w:spacing w:line="360" w:lineRule="auto"/>
        <w:ind w:firstLine="602" w:firstLineChars="200"/>
        <w:rPr>
          <w:rFonts w:ascii="宋体"/>
          <w:szCs w:val="30"/>
        </w:rPr>
      </w:pPr>
      <w:bookmarkStart w:id="143" w:name="_Toc1989"/>
      <w:bookmarkStart w:id="144" w:name="_Toc167307744"/>
      <w:bookmarkStart w:id="145" w:name="_Toc181797713"/>
      <w:bookmarkStart w:id="146" w:name="_Toc17419"/>
      <w:bookmarkStart w:id="147" w:name="_Toc6283"/>
      <w:r>
        <w:rPr>
          <w:rFonts w:hint="eastAsia" w:ascii="宋体"/>
          <w:szCs w:val="30"/>
        </w:rPr>
        <w:t>（二）可供开采矿产资源的范围</w:t>
      </w:r>
      <w:bookmarkEnd w:id="143"/>
      <w:bookmarkEnd w:id="144"/>
      <w:bookmarkEnd w:id="145"/>
      <w:bookmarkEnd w:id="146"/>
      <w:bookmarkEnd w:id="147"/>
    </w:p>
    <w:p w14:paraId="6FF6B4FD">
      <w:pPr>
        <w:pStyle w:val="5"/>
        <w:spacing w:line="360" w:lineRule="auto"/>
        <w:ind w:firstLine="562" w:firstLineChars="200"/>
        <w:rPr>
          <w:rFonts w:ascii="宋体" w:hAnsi="宋体" w:cs="宋体"/>
          <w:sz w:val="28"/>
          <w:szCs w:val="28"/>
        </w:rPr>
      </w:pPr>
      <w:bookmarkStart w:id="148" w:name="OLE_LINK20"/>
      <w:r>
        <w:rPr>
          <w:rFonts w:hint="eastAsia" w:ascii="宋体" w:hAnsi="宋体" w:cs="宋体"/>
          <w:sz w:val="28"/>
          <w:szCs w:val="28"/>
        </w:rPr>
        <w:t>1、矿产资源储量估算对象</w:t>
      </w:r>
    </w:p>
    <w:p w14:paraId="13145F7C">
      <w:pPr>
        <w:spacing w:before="5" w:line="409" w:lineRule="auto"/>
        <w:ind w:left="1" w:right="18" w:firstLine="567"/>
        <w:rPr>
          <w:rFonts w:ascii="宋体" w:hAnsi="宋体" w:cs="宋体"/>
          <w:sz w:val="28"/>
          <w:szCs w:val="28"/>
        </w:rPr>
      </w:pPr>
      <w:r>
        <w:rPr>
          <w:rFonts w:ascii="宋体" w:hAnsi="宋体" w:cs="宋体"/>
          <w:sz w:val="28"/>
          <w:szCs w:val="28"/>
        </w:rPr>
        <w:t>根据20</w:t>
      </w:r>
      <w:r>
        <w:rPr>
          <w:rFonts w:hint="eastAsia" w:ascii="宋体" w:hAnsi="宋体" w:cs="宋体"/>
          <w:sz w:val="28"/>
          <w:szCs w:val="28"/>
        </w:rPr>
        <w:t>25</w:t>
      </w:r>
      <w:r>
        <w:rPr>
          <w:rFonts w:ascii="宋体" w:hAnsi="宋体" w:cs="宋体"/>
          <w:sz w:val="28"/>
          <w:szCs w:val="28"/>
        </w:rPr>
        <w:t>年</w:t>
      </w:r>
      <w:r>
        <w:rPr>
          <w:rFonts w:hint="eastAsia" w:ascii="宋体" w:hAnsi="宋体" w:cs="宋体"/>
          <w:sz w:val="28"/>
          <w:szCs w:val="28"/>
        </w:rPr>
        <w:t>3</w:t>
      </w:r>
      <w:r>
        <w:rPr>
          <w:rFonts w:ascii="宋体" w:hAnsi="宋体" w:cs="宋体"/>
          <w:sz w:val="28"/>
          <w:szCs w:val="28"/>
        </w:rPr>
        <w:t>月辽宁省第九地质大队有限责任公提交</w:t>
      </w:r>
      <w:r>
        <w:rPr>
          <w:rFonts w:hint="eastAsia" w:ascii="宋体" w:hAnsi="宋体" w:cs="宋体"/>
          <w:sz w:val="28"/>
          <w:szCs w:val="28"/>
        </w:rPr>
        <w:t>的</w:t>
      </w:r>
      <w:r>
        <w:rPr>
          <w:rFonts w:ascii="宋体" w:hAnsi="宋体" w:cs="宋体"/>
          <w:sz w:val="28"/>
          <w:szCs w:val="28"/>
        </w:rPr>
        <w:t>《</w:t>
      </w:r>
      <w:r>
        <w:rPr>
          <w:rFonts w:hint="eastAsia" w:ascii="宋体" w:hAnsi="宋体" w:cs="宋体"/>
          <w:sz w:val="28"/>
          <w:szCs w:val="28"/>
        </w:rPr>
        <w:t>辽宁省铁岭县李千户镇金家沟村建筑用白云岩矿详查</w:t>
      </w:r>
      <w:r>
        <w:rPr>
          <w:rFonts w:ascii="宋体" w:hAnsi="宋体" w:cs="宋体"/>
          <w:sz w:val="28"/>
          <w:szCs w:val="28"/>
        </w:rPr>
        <w:t>报告》</w:t>
      </w:r>
      <w:bookmarkStart w:id="149" w:name="_Toc346267991"/>
      <w:bookmarkStart w:id="150" w:name="_Toc346262996"/>
      <w:r>
        <w:rPr>
          <w:rFonts w:ascii="宋体" w:hAnsi="宋体" w:cs="宋体"/>
          <w:sz w:val="28"/>
          <w:szCs w:val="28"/>
        </w:rPr>
        <w:t>及评审备案文件</w:t>
      </w:r>
      <w:r>
        <w:rPr>
          <w:rFonts w:hint="eastAsia" w:ascii="宋体" w:hAnsi="宋体" w:cs="宋体"/>
          <w:sz w:val="28"/>
          <w:szCs w:val="28"/>
        </w:rPr>
        <w:t>，估估算对象为矿区范围内的白云岩和石英砂岩矿体。</w:t>
      </w:r>
    </w:p>
    <w:p w14:paraId="6BFB873E">
      <w:pPr>
        <w:pStyle w:val="5"/>
        <w:spacing w:line="360" w:lineRule="auto"/>
        <w:ind w:firstLine="562" w:firstLineChars="200"/>
        <w:rPr>
          <w:rFonts w:ascii="宋体" w:hAnsi="宋体" w:cs="宋体"/>
          <w:sz w:val="28"/>
          <w:szCs w:val="28"/>
        </w:rPr>
      </w:pPr>
      <w:r>
        <w:rPr>
          <w:rFonts w:hint="eastAsia" w:ascii="宋体" w:hAnsi="宋体" w:cs="宋体"/>
          <w:sz w:val="28"/>
          <w:szCs w:val="28"/>
        </w:rPr>
        <w:t>2、矿产资源储量估算范围</w:t>
      </w:r>
    </w:p>
    <w:p w14:paraId="01D71ADF">
      <w:pPr>
        <w:spacing w:before="5" w:line="409" w:lineRule="auto"/>
        <w:ind w:left="1" w:right="18" w:firstLine="567"/>
        <w:rPr>
          <w:rFonts w:ascii="宋体" w:hAnsi="宋体" w:cs="宋体"/>
          <w:sz w:val="28"/>
          <w:szCs w:val="28"/>
        </w:rPr>
      </w:pPr>
      <w:r>
        <w:rPr>
          <w:rFonts w:hint="eastAsia" w:cs="宋体" w:asciiTheme="minorEastAsia" w:hAnsiTheme="minorEastAsia" w:eastAsiaTheme="minorEastAsia"/>
          <w:sz w:val="28"/>
          <w:szCs w:val="28"/>
        </w:rPr>
        <w:t>矿区范围内的白云岩和石英砂岩矿体估算范围</w:t>
      </w:r>
      <w:r>
        <w:rPr>
          <w:rFonts w:hint="eastAsia" w:cs="仿宋" w:asciiTheme="minorEastAsia" w:hAnsiTheme="minorEastAsia" w:eastAsiaTheme="minorEastAsia"/>
          <w:bCs/>
          <w:sz w:val="28"/>
          <w:szCs w:val="28"/>
        </w:rPr>
        <w:t>分别为92237m</w:t>
      </w:r>
      <w:r>
        <w:rPr>
          <w:rFonts w:hint="eastAsia" w:cs="仿宋" w:asciiTheme="minorEastAsia" w:hAnsiTheme="minorEastAsia" w:eastAsiaTheme="minorEastAsia"/>
          <w:bCs/>
          <w:sz w:val="28"/>
          <w:szCs w:val="28"/>
          <w:vertAlign w:val="superscript"/>
        </w:rPr>
        <w:t>2</w:t>
      </w:r>
      <w:r>
        <w:rPr>
          <w:rFonts w:hint="eastAsia" w:cs="仿宋" w:asciiTheme="minorEastAsia" w:hAnsiTheme="minorEastAsia" w:eastAsiaTheme="minorEastAsia"/>
          <w:bCs/>
          <w:sz w:val="28"/>
          <w:szCs w:val="28"/>
        </w:rPr>
        <w:t>、 181116m</w:t>
      </w:r>
      <w:r>
        <w:rPr>
          <w:rFonts w:hint="eastAsia" w:cs="仿宋" w:asciiTheme="minorEastAsia" w:hAnsiTheme="minorEastAsia" w:eastAsiaTheme="minorEastAsia"/>
          <w:bCs/>
          <w:sz w:val="28"/>
          <w:szCs w:val="28"/>
          <w:vertAlign w:val="superscript"/>
        </w:rPr>
        <w:t>2</w:t>
      </w:r>
      <w:r>
        <w:rPr>
          <w:rFonts w:hint="eastAsia" w:cs="宋体" w:asciiTheme="minorEastAsia" w:hAnsiTheme="minorEastAsia" w:eastAsiaTheme="minorEastAsia"/>
          <w:sz w:val="28"/>
          <w:szCs w:val="28"/>
        </w:rPr>
        <w:t>，</w:t>
      </w:r>
      <w:r>
        <w:rPr>
          <w:rFonts w:hint="eastAsia" w:ascii="宋体" w:hAnsi="宋体" w:cs="宋体"/>
          <w:sz w:val="28"/>
          <w:szCs w:val="28"/>
        </w:rPr>
        <w:t>估算范围拐点坐标、面积及估算标高见表3-1。</w:t>
      </w:r>
    </w:p>
    <w:p w14:paraId="6F95677B">
      <w:pPr>
        <w:adjustRightInd w:val="0"/>
        <w:snapToGrid w:val="0"/>
        <w:spacing w:line="360" w:lineRule="auto"/>
        <w:jc w:val="center"/>
        <w:rPr>
          <w:rFonts w:ascii="宋体" w:hAnsi="宋体" w:cs="宋体"/>
          <w:b/>
          <w:bCs/>
          <w:spacing w:val="-7"/>
          <w:szCs w:val="21"/>
        </w:rPr>
      </w:pPr>
      <w:r>
        <w:rPr>
          <w:rFonts w:hint="eastAsia" w:ascii="宋体" w:hAnsi="宋体" w:cs="宋体"/>
          <w:b/>
          <w:bCs/>
          <w:spacing w:val="-7"/>
          <w:szCs w:val="21"/>
        </w:rPr>
        <w:t>表3-1    资源储量估算范围拐点坐标（2000大地坐标）</w:t>
      </w:r>
    </w:p>
    <w:tbl>
      <w:tblPr>
        <w:tblStyle w:val="42"/>
        <w:tblW w:w="7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1150"/>
        <w:gridCol w:w="1367"/>
        <w:gridCol w:w="1433"/>
        <w:gridCol w:w="1333"/>
        <w:gridCol w:w="1645"/>
      </w:tblGrid>
      <w:tr w14:paraId="537E5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restart"/>
            <w:noWrap/>
            <w:vAlign w:val="center"/>
          </w:tcPr>
          <w:p w14:paraId="62014A9B">
            <w:pPr>
              <w:widowControl/>
              <w:jc w:val="center"/>
              <w:textAlignment w:val="center"/>
              <w:rPr>
                <w:rFonts w:cs="宋体" w:asciiTheme="minorEastAsia" w:hAnsiTheme="minorEastAsia" w:eastAsiaTheme="minorEastAsia"/>
                <w:b/>
                <w:kern w:val="0"/>
                <w:szCs w:val="21"/>
              </w:rPr>
            </w:pPr>
            <w:r>
              <w:rPr>
                <w:rFonts w:hint="eastAsia" w:cs="宋体" w:asciiTheme="minorEastAsia" w:hAnsiTheme="minorEastAsia" w:eastAsiaTheme="minorEastAsia"/>
                <w:b/>
                <w:kern w:val="0"/>
                <w:szCs w:val="21"/>
              </w:rPr>
              <w:t>矿体</w:t>
            </w:r>
          </w:p>
        </w:tc>
        <w:tc>
          <w:tcPr>
            <w:tcW w:w="1150" w:type="dxa"/>
            <w:vMerge w:val="restart"/>
            <w:noWrap/>
            <w:vAlign w:val="center"/>
          </w:tcPr>
          <w:p w14:paraId="6EAE447F">
            <w:pPr>
              <w:widowControl/>
              <w:jc w:val="center"/>
              <w:textAlignment w:val="center"/>
              <w:rPr>
                <w:rFonts w:cs="宋体" w:asciiTheme="minorEastAsia" w:hAnsiTheme="minorEastAsia" w:eastAsiaTheme="minorEastAsia"/>
                <w:b/>
                <w:szCs w:val="21"/>
              </w:rPr>
            </w:pPr>
            <w:r>
              <w:rPr>
                <w:rFonts w:hint="eastAsia" w:cs="宋体" w:asciiTheme="minorEastAsia" w:hAnsiTheme="minorEastAsia" w:eastAsiaTheme="minorEastAsia"/>
                <w:b/>
                <w:kern w:val="0"/>
                <w:szCs w:val="21"/>
              </w:rPr>
              <w:t>拐点编号</w:t>
            </w:r>
          </w:p>
        </w:tc>
        <w:tc>
          <w:tcPr>
            <w:tcW w:w="2800" w:type="dxa"/>
            <w:gridSpan w:val="2"/>
            <w:noWrap/>
            <w:vAlign w:val="center"/>
          </w:tcPr>
          <w:p w14:paraId="141D512F">
            <w:pPr>
              <w:widowControl/>
              <w:jc w:val="center"/>
              <w:textAlignment w:val="center"/>
              <w:rPr>
                <w:rFonts w:cs="宋体" w:asciiTheme="minorEastAsia" w:hAnsiTheme="minorEastAsia" w:eastAsiaTheme="minorEastAsia"/>
                <w:b/>
                <w:szCs w:val="21"/>
              </w:rPr>
            </w:pPr>
            <w:r>
              <w:rPr>
                <w:rFonts w:hint="eastAsia" w:cs="宋体" w:asciiTheme="minorEastAsia" w:hAnsiTheme="minorEastAsia" w:eastAsiaTheme="minorEastAsia"/>
                <w:b/>
                <w:kern w:val="0"/>
                <w:szCs w:val="21"/>
              </w:rPr>
              <w:t>平面直角坐标系</w:t>
            </w:r>
          </w:p>
        </w:tc>
        <w:tc>
          <w:tcPr>
            <w:tcW w:w="1333" w:type="dxa"/>
            <w:vMerge w:val="restart"/>
            <w:noWrap/>
            <w:vAlign w:val="center"/>
          </w:tcPr>
          <w:p w14:paraId="71C88D1F">
            <w:pPr>
              <w:widowControl/>
              <w:jc w:val="center"/>
              <w:textAlignment w:val="center"/>
              <w:rPr>
                <w:rFonts w:cs="宋体" w:asciiTheme="minorEastAsia" w:hAnsiTheme="minorEastAsia" w:eastAsiaTheme="minorEastAsia"/>
                <w:b/>
                <w:szCs w:val="21"/>
              </w:rPr>
            </w:pPr>
            <w:r>
              <w:rPr>
                <w:rFonts w:hint="eastAsia" w:cs="宋体" w:asciiTheme="minorEastAsia" w:hAnsiTheme="minorEastAsia" w:eastAsiaTheme="minorEastAsia"/>
                <w:b/>
                <w:kern w:val="0"/>
                <w:szCs w:val="21"/>
              </w:rPr>
              <w:t>估算标高(m）</w:t>
            </w:r>
          </w:p>
        </w:tc>
        <w:tc>
          <w:tcPr>
            <w:tcW w:w="1645" w:type="dxa"/>
            <w:vMerge w:val="restart"/>
            <w:noWrap/>
            <w:vAlign w:val="center"/>
          </w:tcPr>
          <w:p w14:paraId="172593E9">
            <w:pPr>
              <w:widowControl/>
              <w:jc w:val="center"/>
              <w:textAlignment w:val="center"/>
              <w:rPr>
                <w:rFonts w:cs="宋体" w:asciiTheme="minorEastAsia" w:hAnsiTheme="minorEastAsia" w:eastAsiaTheme="minorEastAsia"/>
                <w:b/>
                <w:kern w:val="0"/>
                <w:szCs w:val="21"/>
              </w:rPr>
            </w:pPr>
            <w:r>
              <w:rPr>
                <w:rFonts w:hint="eastAsia" w:cs="宋体" w:asciiTheme="minorEastAsia" w:hAnsiTheme="minorEastAsia" w:eastAsiaTheme="minorEastAsia"/>
                <w:b/>
                <w:kern w:val="0"/>
                <w:szCs w:val="21"/>
              </w:rPr>
              <w:t>资源量估算</w:t>
            </w:r>
          </w:p>
          <w:p w14:paraId="48409E39">
            <w:pPr>
              <w:widowControl/>
              <w:jc w:val="center"/>
              <w:textAlignment w:val="center"/>
              <w:rPr>
                <w:rFonts w:cs="宋体" w:asciiTheme="minorEastAsia" w:hAnsiTheme="minorEastAsia" w:eastAsiaTheme="minorEastAsia"/>
                <w:b/>
                <w:szCs w:val="21"/>
              </w:rPr>
            </w:pPr>
            <w:r>
              <w:rPr>
                <w:rFonts w:hint="eastAsia" w:cs="宋体" w:asciiTheme="minorEastAsia" w:hAnsiTheme="minorEastAsia" w:eastAsiaTheme="minorEastAsia"/>
                <w:b/>
                <w:kern w:val="0"/>
                <w:szCs w:val="21"/>
              </w:rPr>
              <w:t>面积(m2)</w:t>
            </w:r>
          </w:p>
        </w:tc>
      </w:tr>
      <w:tr w14:paraId="1A159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64694187">
            <w:pPr>
              <w:jc w:val="center"/>
              <w:rPr>
                <w:rFonts w:cs="宋体" w:asciiTheme="minorEastAsia" w:hAnsiTheme="minorEastAsia" w:eastAsiaTheme="minorEastAsia"/>
                <w:b/>
                <w:szCs w:val="21"/>
              </w:rPr>
            </w:pPr>
          </w:p>
        </w:tc>
        <w:tc>
          <w:tcPr>
            <w:tcW w:w="1150" w:type="dxa"/>
            <w:vMerge w:val="continue"/>
            <w:noWrap/>
            <w:vAlign w:val="center"/>
          </w:tcPr>
          <w:p w14:paraId="57DC20EF">
            <w:pPr>
              <w:jc w:val="center"/>
              <w:rPr>
                <w:rFonts w:cs="宋体" w:asciiTheme="minorEastAsia" w:hAnsiTheme="minorEastAsia" w:eastAsiaTheme="minorEastAsia"/>
                <w:b/>
                <w:szCs w:val="21"/>
              </w:rPr>
            </w:pPr>
          </w:p>
        </w:tc>
        <w:tc>
          <w:tcPr>
            <w:tcW w:w="1367" w:type="dxa"/>
            <w:noWrap/>
            <w:vAlign w:val="center"/>
          </w:tcPr>
          <w:p w14:paraId="1068E12E">
            <w:pPr>
              <w:widowControl/>
              <w:jc w:val="center"/>
              <w:textAlignment w:val="center"/>
              <w:rPr>
                <w:rFonts w:cs="宋体" w:asciiTheme="minorEastAsia" w:hAnsiTheme="minorEastAsia" w:eastAsiaTheme="minorEastAsia"/>
                <w:b/>
                <w:szCs w:val="21"/>
              </w:rPr>
            </w:pPr>
            <w:r>
              <w:rPr>
                <w:rFonts w:hint="eastAsia" w:cs="宋体" w:asciiTheme="minorEastAsia" w:hAnsiTheme="minorEastAsia" w:eastAsiaTheme="minorEastAsia"/>
                <w:b/>
                <w:kern w:val="0"/>
                <w:szCs w:val="21"/>
              </w:rPr>
              <w:t>X</w:t>
            </w:r>
          </w:p>
        </w:tc>
        <w:tc>
          <w:tcPr>
            <w:tcW w:w="1433" w:type="dxa"/>
            <w:noWrap/>
            <w:vAlign w:val="center"/>
          </w:tcPr>
          <w:p w14:paraId="16F95472">
            <w:pPr>
              <w:widowControl/>
              <w:jc w:val="center"/>
              <w:textAlignment w:val="center"/>
              <w:rPr>
                <w:rFonts w:cs="宋体" w:asciiTheme="minorEastAsia" w:hAnsiTheme="minorEastAsia" w:eastAsiaTheme="minorEastAsia"/>
                <w:b/>
                <w:szCs w:val="21"/>
              </w:rPr>
            </w:pPr>
            <w:r>
              <w:rPr>
                <w:rFonts w:hint="eastAsia" w:cs="宋体" w:asciiTheme="minorEastAsia" w:hAnsiTheme="minorEastAsia" w:eastAsiaTheme="minorEastAsia"/>
                <w:b/>
                <w:kern w:val="0"/>
                <w:szCs w:val="21"/>
              </w:rPr>
              <w:t>Y</w:t>
            </w:r>
          </w:p>
        </w:tc>
        <w:tc>
          <w:tcPr>
            <w:tcW w:w="1333" w:type="dxa"/>
            <w:vMerge w:val="continue"/>
            <w:noWrap/>
            <w:vAlign w:val="center"/>
          </w:tcPr>
          <w:p w14:paraId="10BDCD37">
            <w:pPr>
              <w:jc w:val="center"/>
              <w:rPr>
                <w:rFonts w:cs="宋体" w:asciiTheme="minorEastAsia" w:hAnsiTheme="minorEastAsia" w:eastAsiaTheme="minorEastAsia"/>
                <w:szCs w:val="21"/>
              </w:rPr>
            </w:pPr>
          </w:p>
        </w:tc>
        <w:tc>
          <w:tcPr>
            <w:tcW w:w="1645" w:type="dxa"/>
            <w:vMerge w:val="continue"/>
            <w:noWrap/>
            <w:vAlign w:val="center"/>
          </w:tcPr>
          <w:p w14:paraId="30E2F01B">
            <w:pPr>
              <w:jc w:val="center"/>
              <w:rPr>
                <w:rFonts w:cs="宋体" w:asciiTheme="minorEastAsia" w:hAnsiTheme="minorEastAsia" w:eastAsiaTheme="minorEastAsia"/>
                <w:szCs w:val="21"/>
              </w:rPr>
            </w:pPr>
          </w:p>
        </w:tc>
      </w:tr>
      <w:tr w14:paraId="0E9FF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15" w:type="dxa"/>
            <w:vMerge w:val="restart"/>
            <w:noWrap/>
            <w:vAlign w:val="center"/>
          </w:tcPr>
          <w:p w14:paraId="5445A2BA">
            <w:pPr>
              <w:widowControl/>
              <w:tabs>
                <w:tab w:val="left" w:pos="424"/>
              </w:tabs>
              <w:jc w:val="center"/>
              <w:textAlignment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建筑用白云岩</w:t>
            </w:r>
          </w:p>
        </w:tc>
        <w:tc>
          <w:tcPr>
            <w:tcW w:w="1150" w:type="dxa"/>
            <w:noWrap/>
            <w:vAlign w:val="center"/>
          </w:tcPr>
          <w:p w14:paraId="04B82A4D">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1</w:t>
            </w:r>
          </w:p>
        </w:tc>
        <w:tc>
          <w:tcPr>
            <w:tcW w:w="1367" w:type="dxa"/>
            <w:noWrap/>
            <w:vAlign w:val="center"/>
          </w:tcPr>
          <w:p w14:paraId="7922BA37">
            <w:pPr>
              <w:widowControl/>
              <w:jc w:val="center"/>
              <w:textAlignment w:val="center"/>
              <w:rPr>
                <w:rFonts w:cs="宋体" w:asciiTheme="minorEastAsia" w:hAnsiTheme="minorEastAsia" w:eastAsiaTheme="minorEastAsia"/>
                <w:szCs w:val="21"/>
              </w:rPr>
            </w:pPr>
          </w:p>
        </w:tc>
        <w:tc>
          <w:tcPr>
            <w:tcW w:w="1433" w:type="dxa"/>
            <w:noWrap/>
            <w:vAlign w:val="center"/>
          </w:tcPr>
          <w:p w14:paraId="540D4EB3">
            <w:pPr>
              <w:widowControl/>
              <w:jc w:val="center"/>
              <w:textAlignment w:val="center"/>
              <w:rPr>
                <w:rFonts w:cs="宋体" w:asciiTheme="minorEastAsia" w:hAnsiTheme="minorEastAsia" w:eastAsiaTheme="minorEastAsia"/>
                <w:szCs w:val="21"/>
              </w:rPr>
            </w:pPr>
          </w:p>
        </w:tc>
        <w:tc>
          <w:tcPr>
            <w:tcW w:w="1333" w:type="dxa"/>
            <w:vMerge w:val="restart"/>
            <w:noWrap/>
            <w:vAlign w:val="center"/>
          </w:tcPr>
          <w:p w14:paraId="6E6AC1CD">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+226～+170</w:t>
            </w:r>
          </w:p>
        </w:tc>
        <w:tc>
          <w:tcPr>
            <w:tcW w:w="1645" w:type="dxa"/>
            <w:vMerge w:val="restart"/>
            <w:noWrap/>
            <w:vAlign w:val="center"/>
          </w:tcPr>
          <w:p w14:paraId="14520FCA">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92237</w:t>
            </w:r>
          </w:p>
        </w:tc>
      </w:tr>
      <w:tr w14:paraId="2A92A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09A7512E">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10623F84">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2</w:t>
            </w:r>
          </w:p>
        </w:tc>
        <w:tc>
          <w:tcPr>
            <w:tcW w:w="1367" w:type="dxa"/>
            <w:noWrap/>
            <w:vAlign w:val="center"/>
          </w:tcPr>
          <w:p w14:paraId="348B3D19">
            <w:pPr>
              <w:widowControl/>
              <w:jc w:val="center"/>
              <w:textAlignment w:val="center"/>
              <w:rPr>
                <w:rFonts w:cs="宋体" w:asciiTheme="minorEastAsia" w:hAnsiTheme="minorEastAsia" w:eastAsiaTheme="minorEastAsia"/>
                <w:szCs w:val="21"/>
              </w:rPr>
            </w:pPr>
          </w:p>
        </w:tc>
        <w:tc>
          <w:tcPr>
            <w:tcW w:w="1433" w:type="dxa"/>
            <w:noWrap/>
            <w:vAlign w:val="center"/>
          </w:tcPr>
          <w:p w14:paraId="6A4B04E3">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0B3C059C">
            <w:pPr>
              <w:widowControl/>
              <w:jc w:val="center"/>
              <w:textAlignment w:val="center"/>
              <w:rPr>
                <w:rFonts w:cs="宋体" w:asciiTheme="minorEastAsia" w:hAnsiTheme="minorEastAsia" w:eastAsiaTheme="minorEastAsia"/>
                <w:kern w:val="0"/>
                <w:szCs w:val="21"/>
              </w:rPr>
            </w:pPr>
          </w:p>
        </w:tc>
        <w:tc>
          <w:tcPr>
            <w:tcW w:w="1645" w:type="dxa"/>
            <w:vMerge w:val="continue"/>
            <w:noWrap/>
            <w:vAlign w:val="center"/>
          </w:tcPr>
          <w:p w14:paraId="5442DCC8">
            <w:pPr>
              <w:widowControl/>
              <w:jc w:val="center"/>
              <w:textAlignment w:val="center"/>
              <w:rPr>
                <w:rFonts w:cs="宋体" w:asciiTheme="minorEastAsia" w:hAnsiTheme="minorEastAsia" w:eastAsiaTheme="minorEastAsia"/>
                <w:kern w:val="0"/>
                <w:szCs w:val="21"/>
              </w:rPr>
            </w:pPr>
          </w:p>
        </w:tc>
      </w:tr>
      <w:tr w14:paraId="15D08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07886391">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5A203BB2">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3</w:t>
            </w:r>
          </w:p>
        </w:tc>
        <w:tc>
          <w:tcPr>
            <w:tcW w:w="1367" w:type="dxa"/>
            <w:noWrap/>
            <w:vAlign w:val="center"/>
          </w:tcPr>
          <w:p w14:paraId="73032CEC">
            <w:pPr>
              <w:widowControl/>
              <w:jc w:val="center"/>
              <w:textAlignment w:val="center"/>
              <w:rPr>
                <w:rFonts w:cs="宋体" w:asciiTheme="minorEastAsia" w:hAnsiTheme="minorEastAsia" w:eastAsiaTheme="minorEastAsia"/>
                <w:szCs w:val="21"/>
              </w:rPr>
            </w:pPr>
          </w:p>
        </w:tc>
        <w:tc>
          <w:tcPr>
            <w:tcW w:w="1433" w:type="dxa"/>
            <w:noWrap/>
            <w:vAlign w:val="center"/>
          </w:tcPr>
          <w:p w14:paraId="7849F18C">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2B17FD51">
            <w:pPr>
              <w:widowControl/>
              <w:jc w:val="center"/>
              <w:textAlignment w:val="center"/>
              <w:rPr>
                <w:rFonts w:cs="宋体" w:asciiTheme="minorEastAsia" w:hAnsiTheme="minorEastAsia" w:eastAsiaTheme="minorEastAsia"/>
                <w:kern w:val="0"/>
                <w:szCs w:val="21"/>
              </w:rPr>
            </w:pPr>
          </w:p>
        </w:tc>
        <w:tc>
          <w:tcPr>
            <w:tcW w:w="1645" w:type="dxa"/>
            <w:vMerge w:val="continue"/>
            <w:noWrap/>
            <w:vAlign w:val="center"/>
          </w:tcPr>
          <w:p w14:paraId="44699099">
            <w:pPr>
              <w:widowControl/>
              <w:jc w:val="center"/>
              <w:textAlignment w:val="center"/>
              <w:rPr>
                <w:rFonts w:cs="宋体" w:asciiTheme="minorEastAsia" w:hAnsiTheme="minorEastAsia" w:eastAsiaTheme="minorEastAsia"/>
                <w:kern w:val="0"/>
                <w:szCs w:val="21"/>
              </w:rPr>
            </w:pPr>
          </w:p>
        </w:tc>
      </w:tr>
      <w:tr w14:paraId="6BDED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1CE8AA89">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28B7EF0D">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4</w:t>
            </w:r>
          </w:p>
        </w:tc>
        <w:tc>
          <w:tcPr>
            <w:tcW w:w="1367" w:type="dxa"/>
            <w:noWrap/>
            <w:vAlign w:val="center"/>
          </w:tcPr>
          <w:p w14:paraId="64E64D60">
            <w:pPr>
              <w:widowControl/>
              <w:jc w:val="center"/>
              <w:textAlignment w:val="center"/>
              <w:rPr>
                <w:rFonts w:cs="宋体" w:asciiTheme="minorEastAsia" w:hAnsiTheme="minorEastAsia" w:eastAsiaTheme="minorEastAsia"/>
                <w:szCs w:val="21"/>
              </w:rPr>
            </w:pPr>
          </w:p>
        </w:tc>
        <w:tc>
          <w:tcPr>
            <w:tcW w:w="1433" w:type="dxa"/>
            <w:noWrap/>
            <w:vAlign w:val="center"/>
          </w:tcPr>
          <w:p w14:paraId="2FB8AB28">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7701C750">
            <w:pPr>
              <w:jc w:val="center"/>
              <w:rPr>
                <w:rFonts w:cs="宋体" w:asciiTheme="minorEastAsia" w:hAnsiTheme="minorEastAsia" w:eastAsiaTheme="minorEastAsia"/>
                <w:szCs w:val="21"/>
              </w:rPr>
            </w:pPr>
          </w:p>
        </w:tc>
        <w:tc>
          <w:tcPr>
            <w:tcW w:w="1645" w:type="dxa"/>
            <w:vMerge w:val="continue"/>
            <w:noWrap/>
            <w:vAlign w:val="center"/>
          </w:tcPr>
          <w:p w14:paraId="22ADF54F">
            <w:pPr>
              <w:jc w:val="center"/>
              <w:rPr>
                <w:rFonts w:cs="宋体" w:asciiTheme="minorEastAsia" w:hAnsiTheme="minorEastAsia" w:eastAsiaTheme="minorEastAsia"/>
                <w:szCs w:val="21"/>
              </w:rPr>
            </w:pPr>
          </w:p>
        </w:tc>
      </w:tr>
      <w:tr w14:paraId="339A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2D9ADEF0">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79B1EC00">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5</w:t>
            </w:r>
          </w:p>
        </w:tc>
        <w:tc>
          <w:tcPr>
            <w:tcW w:w="1367" w:type="dxa"/>
            <w:noWrap/>
            <w:vAlign w:val="center"/>
          </w:tcPr>
          <w:p w14:paraId="4530F7FF">
            <w:pPr>
              <w:widowControl/>
              <w:jc w:val="center"/>
              <w:textAlignment w:val="center"/>
              <w:rPr>
                <w:rFonts w:cs="宋体" w:asciiTheme="minorEastAsia" w:hAnsiTheme="minorEastAsia" w:eastAsiaTheme="minorEastAsia"/>
                <w:szCs w:val="21"/>
              </w:rPr>
            </w:pPr>
          </w:p>
        </w:tc>
        <w:tc>
          <w:tcPr>
            <w:tcW w:w="1433" w:type="dxa"/>
            <w:noWrap/>
            <w:vAlign w:val="center"/>
          </w:tcPr>
          <w:p w14:paraId="697020B2">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4F916A2F">
            <w:pPr>
              <w:jc w:val="center"/>
              <w:rPr>
                <w:rFonts w:cs="宋体" w:asciiTheme="minorEastAsia" w:hAnsiTheme="minorEastAsia" w:eastAsiaTheme="minorEastAsia"/>
                <w:szCs w:val="21"/>
              </w:rPr>
            </w:pPr>
          </w:p>
        </w:tc>
        <w:tc>
          <w:tcPr>
            <w:tcW w:w="1645" w:type="dxa"/>
            <w:vMerge w:val="continue"/>
            <w:noWrap/>
            <w:vAlign w:val="center"/>
          </w:tcPr>
          <w:p w14:paraId="1FEBF17D">
            <w:pPr>
              <w:jc w:val="center"/>
              <w:rPr>
                <w:rFonts w:cs="宋体" w:asciiTheme="minorEastAsia" w:hAnsiTheme="minorEastAsia" w:eastAsiaTheme="minorEastAsia"/>
                <w:szCs w:val="21"/>
              </w:rPr>
            </w:pPr>
          </w:p>
        </w:tc>
      </w:tr>
      <w:tr w14:paraId="7C8D1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3D0C5410">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0B8C31B0">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6</w:t>
            </w:r>
          </w:p>
        </w:tc>
        <w:tc>
          <w:tcPr>
            <w:tcW w:w="1367" w:type="dxa"/>
            <w:noWrap/>
            <w:vAlign w:val="center"/>
          </w:tcPr>
          <w:p w14:paraId="591A1366">
            <w:pPr>
              <w:widowControl/>
              <w:jc w:val="center"/>
              <w:textAlignment w:val="center"/>
              <w:rPr>
                <w:rFonts w:cs="宋体" w:asciiTheme="minorEastAsia" w:hAnsiTheme="minorEastAsia" w:eastAsiaTheme="minorEastAsia"/>
                <w:szCs w:val="21"/>
              </w:rPr>
            </w:pPr>
          </w:p>
        </w:tc>
        <w:tc>
          <w:tcPr>
            <w:tcW w:w="1433" w:type="dxa"/>
            <w:noWrap/>
            <w:vAlign w:val="center"/>
          </w:tcPr>
          <w:p w14:paraId="0F984F26">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03D56B7A">
            <w:pPr>
              <w:jc w:val="center"/>
              <w:rPr>
                <w:rFonts w:cs="宋体" w:asciiTheme="minorEastAsia" w:hAnsiTheme="minorEastAsia" w:eastAsiaTheme="minorEastAsia"/>
                <w:szCs w:val="21"/>
              </w:rPr>
            </w:pPr>
          </w:p>
        </w:tc>
        <w:tc>
          <w:tcPr>
            <w:tcW w:w="1645" w:type="dxa"/>
            <w:vMerge w:val="continue"/>
            <w:noWrap/>
            <w:vAlign w:val="center"/>
          </w:tcPr>
          <w:p w14:paraId="537D14DC">
            <w:pPr>
              <w:jc w:val="center"/>
              <w:rPr>
                <w:rFonts w:cs="宋体" w:asciiTheme="minorEastAsia" w:hAnsiTheme="minorEastAsia" w:eastAsiaTheme="minorEastAsia"/>
                <w:szCs w:val="21"/>
              </w:rPr>
            </w:pPr>
          </w:p>
        </w:tc>
      </w:tr>
      <w:tr w14:paraId="524CE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6921E2DC">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6EE88850">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7</w:t>
            </w:r>
          </w:p>
        </w:tc>
        <w:tc>
          <w:tcPr>
            <w:tcW w:w="1367" w:type="dxa"/>
            <w:noWrap/>
            <w:vAlign w:val="center"/>
          </w:tcPr>
          <w:p w14:paraId="17D9009D">
            <w:pPr>
              <w:widowControl/>
              <w:jc w:val="center"/>
              <w:textAlignment w:val="center"/>
              <w:rPr>
                <w:rFonts w:cs="宋体" w:asciiTheme="minorEastAsia" w:hAnsiTheme="minorEastAsia" w:eastAsiaTheme="minorEastAsia"/>
                <w:szCs w:val="21"/>
              </w:rPr>
            </w:pPr>
          </w:p>
        </w:tc>
        <w:tc>
          <w:tcPr>
            <w:tcW w:w="1433" w:type="dxa"/>
            <w:noWrap/>
            <w:vAlign w:val="center"/>
          </w:tcPr>
          <w:p w14:paraId="6EE53169">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450CC1A2">
            <w:pPr>
              <w:jc w:val="center"/>
              <w:rPr>
                <w:rFonts w:cs="宋体" w:asciiTheme="minorEastAsia" w:hAnsiTheme="minorEastAsia" w:eastAsiaTheme="minorEastAsia"/>
                <w:szCs w:val="21"/>
              </w:rPr>
            </w:pPr>
          </w:p>
        </w:tc>
        <w:tc>
          <w:tcPr>
            <w:tcW w:w="1645" w:type="dxa"/>
            <w:vMerge w:val="continue"/>
            <w:noWrap/>
            <w:vAlign w:val="center"/>
          </w:tcPr>
          <w:p w14:paraId="717E9546">
            <w:pPr>
              <w:jc w:val="center"/>
              <w:rPr>
                <w:rFonts w:cs="宋体" w:asciiTheme="minorEastAsia" w:hAnsiTheme="minorEastAsia" w:eastAsiaTheme="minorEastAsia"/>
                <w:szCs w:val="21"/>
              </w:rPr>
            </w:pPr>
          </w:p>
        </w:tc>
      </w:tr>
      <w:tr w14:paraId="6FFF2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6BE715EC">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147488D8">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8</w:t>
            </w:r>
          </w:p>
        </w:tc>
        <w:tc>
          <w:tcPr>
            <w:tcW w:w="1367" w:type="dxa"/>
            <w:noWrap/>
            <w:vAlign w:val="center"/>
          </w:tcPr>
          <w:p w14:paraId="59F6C0E3">
            <w:pPr>
              <w:widowControl/>
              <w:jc w:val="center"/>
              <w:textAlignment w:val="center"/>
              <w:rPr>
                <w:rFonts w:cs="宋体" w:asciiTheme="minorEastAsia" w:hAnsiTheme="minorEastAsia" w:eastAsiaTheme="minorEastAsia"/>
                <w:szCs w:val="21"/>
              </w:rPr>
            </w:pPr>
          </w:p>
        </w:tc>
        <w:tc>
          <w:tcPr>
            <w:tcW w:w="1433" w:type="dxa"/>
            <w:noWrap/>
            <w:vAlign w:val="center"/>
          </w:tcPr>
          <w:p w14:paraId="31584101">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4FBA2C5F">
            <w:pPr>
              <w:jc w:val="center"/>
              <w:rPr>
                <w:rFonts w:cs="宋体" w:asciiTheme="minorEastAsia" w:hAnsiTheme="minorEastAsia" w:eastAsiaTheme="minorEastAsia"/>
                <w:szCs w:val="21"/>
              </w:rPr>
            </w:pPr>
          </w:p>
        </w:tc>
        <w:tc>
          <w:tcPr>
            <w:tcW w:w="1645" w:type="dxa"/>
            <w:vMerge w:val="continue"/>
            <w:noWrap/>
            <w:vAlign w:val="center"/>
          </w:tcPr>
          <w:p w14:paraId="4E73F5BD">
            <w:pPr>
              <w:jc w:val="center"/>
              <w:rPr>
                <w:rFonts w:cs="宋体" w:asciiTheme="minorEastAsia" w:hAnsiTheme="minorEastAsia" w:eastAsiaTheme="minorEastAsia"/>
                <w:szCs w:val="21"/>
              </w:rPr>
            </w:pPr>
          </w:p>
        </w:tc>
      </w:tr>
      <w:tr w14:paraId="20AA9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6E30CC1A">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6E848C97">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9</w:t>
            </w:r>
          </w:p>
        </w:tc>
        <w:tc>
          <w:tcPr>
            <w:tcW w:w="1367" w:type="dxa"/>
            <w:noWrap/>
            <w:vAlign w:val="center"/>
          </w:tcPr>
          <w:p w14:paraId="742E9BEB">
            <w:pPr>
              <w:widowControl/>
              <w:jc w:val="center"/>
              <w:textAlignment w:val="center"/>
              <w:rPr>
                <w:rFonts w:cs="宋体" w:asciiTheme="minorEastAsia" w:hAnsiTheme="minorEastAsia" w:eastAsiaTheme="minorEastAsia"/>
                <w:szCs w:val="21"/>
              </w:rPr>
            </w:pPr>
          </w:p>
        </w:tc>
        <w:tc>
          <w:tcPr>
            <w:tcW w:w="1433" w:type="dxa"/>
            <w:noWrap/>
            <w:vAlign w:val="center"/>
          </w:tcPr>
          <w:p w14:paraId="57CCEECE">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0FE6F1BC">
            <w:pPr>
              <w:jc w:val="center"/>
              <w:rPr>
                <w:rFonts w:cs="宋体" w:asciiTheme="minorEastAsia" w:hAnsiTheme="minorEastAsia" w:eastAsiaTheme="minorEastAsia"/>
                <w:szCs w:val="21"/>
              </w:rPr>
            </w:pPr>
          </w:p>
        </w:tc>
        <w:tc>
          <w:tcPr>
            <w:tcW w:w="1645" w:type="dxa"/>
            <w:vMerge w:val="continue"/>
            <w:noWrap/>
            <w:vAlign w:val="center"/>
          </w:tcPr>
          <w:p w14:paraId="5790A4EF">
            <w:pPr>
              <w:jc w:val="center"/>
              <w:rPr>
                <w:rFonts w:cs="宋体" w:asciiTheme="minorEastAsia" w:hAnsiTheme="minorEastAsia" w:eastAsiaTheme="minorEastAsia"/>
                <w:szCs w:val="21"/>
              </w:rPr>
            </w:pPr>
          </w:p>
        </w:tc>
      </w:tr>
      <w:tr w14:paraId="4306F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75D18AA2">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666935EE">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10</w:t>
            </w:r>
          </w:p>
        </w:tc>
        <w:tc>
          <w:tcPr>
            <w:tcW w:w="1367" w:type="dxa"/>
            <w:noWrap/>
            <w:vAlign w:val="center"/>
          </w:tcPr>
          <w:p w14:paraId="63FD346B">
            <w:pPr>
              <w:widowControl/>
              <w:jc w:val="center"/>
              <w:textAlignment w:val="center"/>
              <w:rPr>
                <w:rFonts w:cs="宋体" w:asciiTheme="minorEastAsia" w:hAnsiTheme="minorEastAsia" w:eastAsiaTheme="minorEastAsia"/>
                <w:szCs w:val="21"/>
              </w:rPr>
            </w:pPr>
          </w:p>
        </w:tc>
        <w:tc>
          <w:tcPr>
            <w:tcW w:w="1433" w:type="dxa"/>
            <w:noWrap/>
            <w:vAlign w:val="center"/>
          </w:tcPr>
          <w:p w14:paraId="4289E7C1">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174DB708">
            <w:pPr>
              <w:jc w:val="center"/>
              <w:rPr>
                <w:rFonts w:cs="宋体" w:asciiTheme="minorEastAsia" w:hAnsiTheme="minorEastAsia" w:eastAsiaTheme="minorEastAsia"/>
                <w:szCs w:val="21"/>
              </w:rPr>
            </w:pPr>
          </w:p>
        </w:tc>
        <w:tc>
          <w:tcPr>
            <w:tcW w:w="1645" w:type="dxa"/>
            <w:vMerge w:val="continue"/>
            <w:noWrap/>
            <w:vAlign w:val="center"/>
          </w:tcPr>
          <w:p w14:paraId="2A789903">
            <w:pPr>
              <w:jc w:val="center"/>
              <w:rPr>
                <w:rFonts w:cs="宋体" w:asciiTheme="minorEastAsia" w:hAnsiTheme="minorEastAsia" w:eastAsiaTheme="minorEastAsia"/>
                <w:szCs w:val="21"/>
              </w:rPr>
            </w:pPr>
          </w:p>
        </w:tc>
      </w:tr>
      <w:tr w14:paraId="62803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3D60DF49">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7D782232">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11</w:t>
            </w:r>
          </w:p>
        </w:tc>
        <w:tc>
          <w:tcPr>
            <w:tcW w:w="1367" w:type="dxa"/>
            <w:noWrap/>
            <w:vAlign w:val="center"/>
          </w:tcPr>
          <w:p w14:paraId="5873997F">
            <w:pPr>
              <w:widowControl/>
              <w:jc w:val="center"/>
              <w:textAlignment w:val="center"/>
              <w:rPr>
                <w:rFonts w:cs="宋体" w:asciiTheme="minorEastAsia" w:hAnsiTheme="minorEastAsia" w:eastAsiaTheme="minorEastAsia"/>
                <w:szCs w:val="21"/>
              </w:rPr>
            </w:pPr>
          </w:p>
        </w:tc>
        <w:tc>
          <w:tcPr>
            <w:tcW w:w="1433" w:type="dxa"/>
            <w:noWrap/>
            <w:vAlign w:val="center"/>
          </w:tcPr>
          <w:p w14:paraId="3EAD8E2B">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2BEC36DE">
            <w:pPr>
              <w:jc w:val="center"/>
              <w:rPr>
                <w:rFonts w:cs="宋体" w:asciiTheme="minorEastAsia" w:hAnsiTheme="minorEastAsia" w:eastAsiaTheme="minorEastAsia"/>
                <w:szCs w:val="21"/>
              </w:rPr>
            </w:pPr>
          </w:p>
        </w:tc>
        <w:tc>
          <w:tcPr>
            <w:tcW w:w="1645" w:type="dxa"/>
            <w:vMerge w:val="continue"/>
            <w:noWrap/>
            <w:vAlign w:val="center"/>
          </w:tcPr>
          <w:p w14:paraId="1C7C2ECB">
            <w:pPr>
              <w:jc w:val="center"/>
              <w:rPr>
                <w:rFonts w:cs="宋体" w:asciiTheme="minorEastAsia" w:hAnsiTheme="minorEastAsia" w:eastAsiaTheme="minorEastAsia"/>
                <w:szCs w:val="21"/>
              </w:rPr>
            </w:pPr>
          </w:p>
        </w:tc>
      </w:tr>
      <w:tr w14:paraId="57C6C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10A9FA9F">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00DFF842">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12</w:t>
            </w:r>
          </w:p>
        </w:tc>
        <w:tc>
          <w:tcPr>
            <w:tcW w:w="1367" w:type="dxa"/>
            <w:noWrap/>
            <w:vAlign w:val="center"/>
          </w:tcPr>
          <w:p w14:paraId="03412F21">
            <w:pPr>
              <w:widowControl/>
              <w:jc w:val="center"/>
              <w:textAlignment w:val="center"/>
              <w:rPr>
                <w:rFonts w:cs="宋体" w:asciiTheme="minorEastAsia" w:hAnsiTheme="minorEastAsia" w:eastAsiaTheme="minorEastAsia"/>
                <w:szCs w:val="21"/>
              </w:rPr>
            </w:pPr>
          </w:p>
        </w:tc>
        <w:tc>
          <w:tcPr>
            <w:tcW w:w="1433" w:type="dxa"/>
            <w:noWrap/>
            <w:vAlign w:val="center"/>
          </w:tcPr>
          <w:p w14:paraId="18CA3AF6">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1A170984">
            <w:pPr>
              <w:jc w:val="center"/>
              <w:rPr>
                <w:rFonts w:cs="宋体" w:asciiTheme="minorEastAsia" w:hAnsiTheme="minorEastAsia" w:eastAsiaTheme="minorEastAsia"/>
                <w:szCs w:val="21"/>
              </w:rPr>
            </w:pPr>
          </w:p>
        </w:tc>
        <w:tc>
          <w:tcPr>
            <w:tcW w:w="1645" w:type="dxa"/>
            <w:vMerge w:val="continue"/>
            <w:noWrap/>
            <w:vAlign w:val="center"/>
          </w:tcPr>
          <w:p w14:paraId="19A7E9B8">
            <w:pPr>
              <w:jc w:val="center"/>
              <w:rPr>
                <w:rFonts w:cs="宋体" w:asciiTheme="minorEastAsia" w:hAnsiTheme="minorEastAsia" w:eastAsiaTheme="minorEastAsia"/>
                <w:szCs w:val="21"/>
              </w:rPr>
            </w:pPr>
          </w:p>
        </w:tc>
      </w:tr>
      <w:tr w14:paraId="3574A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3C518799">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753FFC94">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13</w:t>
            </w:r>
          </w:p>
        </w:tc>
        <w:tc>
          <w:tcPr>
            <w:tcW w:w="1367" w:type="dxa"/>
            <w:noWrap/>
            <w:vAlign w:val="center"/>
          </w:tcPr>
          <w:p w14:paraId="41305A8C">
            <w:pPr>
              <w:widowControl/>
              <w:jc w:val="center"/>
              <w:textAlignment w:val="center"/>
              <w:rPr>
                <w:rFonts w:cs="宋体" w:asciiTheme="minorEastAsia" w:hAnsiTheme="minorEastAsia" w:eastAsiaTheme="minorEastAsia"/>
                <w:szCs w:val="21"/>
              </w:rPr>
            </w:pPr>
          </w:p>
        </w:tc>
        <w:tc>
          <w:tcPr>
            <w:tcW w:w="1433" w:type="dxa"/>
            <w:noWrap/>
            <w:vAlign w:val="center"/>
          </w:tcPr>
          <w:p w14:paraId="3EB97EAF">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0C052F03">
            <w:pPr>
              <w:jc w:val="center"/>
              <w:rPr>
                <w:rFonts w:cs="宋体" w:asciiTheme="minorEastAsia" w:hAnsiTheme="minorEastAsia" w:eastAsiaTheme="minorEastAsia"/>
                <w:szCs w:val="21"/>
              </w:rPr>
            </w:pPr>
          </w:p>
        </w:tc>
        <w:tc>
          <w:tcPr>
            <w:tcW w:w="1645" w:type="dxa"/>
            <w:vMerge w:val="continue"/>
            <w:noWrap/>
            <w:vAlign w:val="center"/>
          </w:tcPr>
          <w:p w14:paraId="1B01A13A">
            <w:pPr>
              <w:jc w:val="center"/>
              <w:rPr>
                <w:rFonts w:cs="宋体" w:asciiTheme="minorEastAsia" w:hAnsiTheme="minorEastAsia" w:eastAsiaTheme="minorEastAsia"/>
                <w:szCs w:val="21"/>
              </w:rPr>
            </w:pPr>
          </w:p>
        </w:tc>
      </w:tr>
      <w:tr w14:paraId="70B99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62178A29">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67DCF9CA">
            <w:pPr>
              <w:widowControl/>
              <w:jc w:val="center"/>
              <w:textAlignment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14</w:t>
            </w:r>
          </w:p>
        </w:tc>
        <w:tc>
          <w:tcPr>
            <w:tcW w:w="1367" w:type="dxa"/>
            <w:noWrap/>
            <w:vAlign w:val="center"/>
          </w:tcPr>
          <w:p w14:paraId="32B9C0BA">
            <w:pPr>
              <w:widowControl/>
              <w:jc w:val="center"/>
              <w:textAlignment w:val="center"/>
              <w:rPr>
                <w:rFonts w:cs="宋体" w:asciiTheme="minorEastAsia" w:hAnsiTheme="minorEastAsia" w:eastAsiaTheme="minorEastAsia"/>
                <w:szCs w:val="21"/>
              </w:rPr>
            </w:pPr>
          </w:p>
        </w:tc>
        <w:tc>
          <w:tcPr>
            <w:tcW w:w="1433" w:type="dxa"/>
            <w:noWrap/>
            <w:vAlign w:val="center"/>
          </w:tcPr>
          <w:p w14:paraId="3F05BDD1">
            <w:pPr>
              <w:widowControl/>
              <w:jc w:val="center"/>
              <w:textAlignment w:val="center"/>
              <w:rPr>
                <w:rFonts w:cs="宋体" w:asciiTheme="minorEastAsia" w:hAnsiTheme="minorEastAsia" w:eastAsiaTheme="minorEastAsia"/>
                <w:szCs w:val="21"/>
              </w:rPr>
            </w:pPr>
          </w:p>
        </w:tc>
        <w:tc>
          <w:tcPr>
            <w:tcW w:w="1333" w:type="dxa"/>
            <w:vMerge w:val="continue"/>
            <w:noWrap/>
            <w:vAlign w:val="center"/>
          </w:tcPr>
          <w:p w14:paraId="2F631FAB">
            <w:pPr>
              <w:jc w:val="center"/>
              <w:rPr>
                <w:rFonts w:cs="宋体" w:asciiTheme="minorEastAsia" w:hAnsiTheme="minorEastAsia" w:eastAsiaTheme="minorEastAsia"/>
                <w:szCs w:val="21"/>
              </w:rPr>
            </w:pPr>
          </w:p>
        </w:tc>
        <w:tc>
          <w:tcPr>
            <w:tcW w:w="1645" w:type="dxa"/>
            <w:vMerge w:val="continue"/>
            <w:noWrap/>
            <w:vAlign w:val="center"/>
          </w:tcPr>
          <w:p w14:paraId="2FFD9C6E">
            <w:pPr>
              <w:jc w:val="center"/>
              <w:rPr>
                <w:rFonts w:cs="宋体" w:asciiTheme="minorEastAsia" w:hAnsiTheme="minorEastAsia" w:eastAsiaTheme="minorEastAsia"/>
                <w:szCs w:val="21"/>
              </w:rPr>
            </w:pPr>
          </w:p>
        </w:tc>
      </w:tr>
      <w:tr w14:paraId="44829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708BE039">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43456A47">
            <w:pPr>
              <w:widowControl/>
              <w:jc w:val="center"/>
              <w:textAlignment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w:t>
            </w:r>
          </w:p>
        </w:tc>
        <w:tc>
          <w:tcPr>
            <w:tcW w:w="1367" w:type="dxa"/>
            <w:noWrap/>
            <w:vAlign w:val="center"/>
          </w:tcPr>
          <w:p w14:paraId="73A155A4">
            <w:pPr>
              <w:widowControl/>
              <w:jc w:val="center"/>
              <w:textAlignment w:val="center"/>
              <w:rPr>
                <w:rFonts w:cs="宋体" w:asciiTheme="minorEastAsia" w:hAnsiTheme="minorEastAsia" w:eastAsiaTheme="minorEastAsia"/>
                <w:kern w:val="0"/>
                <w:szCs w:val="21"/>
              </w:rPr>
            </w:pPr>
          </w:p>
        </w:tc>
        <w:tc>
          <w:tcPr>
            <w:tcW w:w="1433" w:type="dxa"/>
            <w:noWrap/>
            <w:vAlign w:val="center"/>
          </w:tcPr>
          <w:p w14:paraId="794E4A91">
            <w:pPr>
              <w:widowControl/>
              <w:jc w:val="center"/>
              <w:textAlignment w:val="center"/>
              <w:rPr>
                <w:rFonts w:cs="宋体" w:asciiTheme="minorEastAsia" w:hAnsiTheme="minorEastAsia" w:eastAsiaTheme="minorEastAsia"/>
                <w:kern w:val="0"/>
                <w:szCs w:val="21"/>
              </w:rPr>
            </w:pPr>
          </w:p>
        </w:tc>
        <w:tc>
          <w:tcPr>
            <w:tcW w:w="1333" w:type="dxa"/>
            <w:vMerge w:val="continue"/>
            <w:noWrap/>
            <w:vAlign w:val="center"/>
          </w:tcPr>
          <w:p w14:paraId="14B98F91">
            <w:pPr>
              <w:jc w:val="center"/>
              <w:rPr>
                <w:rFonts w:cs="宋体" w:asciiTheme="minorEastAsia" w:hAnsiTheme="minorEastAsia" w:eastAsiaTheme="minorEastAsia"/>
                <w:szCs w:val="21"/>
              </w:rPr>
            </w:pPr>
          </w:p>
        </w:tc>
        <w:tc>
          <w:tcPr>
            <w:tcW w:w="1645" w:type="dxa"/>
            <w:vMerge w:val="continue"/>
            <w:noWrap/>
            <w:vAlign w:val="center"/>
          </w:tcPr>
          <w:p w14:paraId="755148DC">
            <w:pPr>
              <w:jc w:val="center"/>
              <w:rPr>
                <w:rFonts w:cs="宋体" w:asciiTheme="minorEastAsia" w:hAnsiTheme="minorEastAsia" w:eastAsiaTheme="minorEastAsia"/>
                <w:szCs w:val="21"/>
              </w:rPr>
            </w:pPr>
          </w:p>
        </w:tc>
      </w:tr>
      <w:tr w14:paraId="35674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426FAD36">
            <w:pPr>
              <w:widowControl/>
              <w:jc w:val="center"/>
              <w:textAlignment w:val="center"/>
              <w:rPr>
                <w:rFonts w:cs="宋体" w:asciiTheme="minorEastAsia" w:hAnsiTheme="minorEastAsia" w:eastAsiaTheme="minorEastAsia"/>
                <w:kern w:val="0"/>
                <w:szCs w:val="21"/>
              </w:rPr>
            </w:pPr>
          </w:p>
        </w:tc>
        <w:tc>
          <w:tcPr>
            <w:tcW w:w="1150" w:type="dxa"/>
            <w:noWrap/>
            <w:vAlign w:val="center"/>
          </w:tcPr>
          <w:p w14:paraId="760AEF49">
            <w:pPr>
              <w:widowControl/>
              <w:jc w:val="center"/>
              <w:textAlignment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16</w:t>
            </w:r>
          </w:p>
        </w:tc>
        <w:tc>
          <w:tcPr>
            <w:tcW w:w="1367" w:type="dxa"/>
            <w:noWrap/>
            <w:vAlign w:val="center"/>
          </w:tcPr>
          <w:p w14:paraId="255D0BEB">
            <w:pPr>
              <w:widowControl/>
              <w:jc w:val="center"/>
              <w:textAlignment w:val="center"/>
              <w:rPr>
                <w:rFonts w:cs="宋体" w:asciiTheme="minorEastAsia" w:hAnsiTheme="minorEastAsia" w:eastAsiaTheme="minorEastAsia"/>
                <w:kern w:val="0"/>
                <w:szCs w:val="21"/>
              </w:rPr>
            </w:pPr>
          </w:p>
        </w:tc>
        <w:tc>
          <w:tcPr>
            <w:tcW w:w="1433" w:type="dxa"/>
            <w:noWrap/>
            <w:vAlign w:val="center"/>
          </w:tcPr>
          <w:p w14:paraId="0A9F71E0">
            <w:pPr>
              <w:widowControl/>
              <w:jc w:val="center"/>
              <w:textAlignment w:val="center"/>
              <w:rPr>
                <w:rFonts w:cs="宋体" w:asciiTheme="minorEastAsia" w:hAnsiTheme="minorEastAsia" w:eastAsiaTheme="minorEastAsia"/>
                <w:kern w:val="0"/>
                <w:szCs w:val="21"/>
              </w:rPr>
            </w:pPr>
          </w:p>
        </w:tc>
        <w:tc>
          <w:tcPr>
            <w:tcW w:w="1333" w:type="dxa"/>
            <w:vMerge w:val="continue"/>
            <w:noWrap/>
            <w:vAlign w:val="center"/>
          </w:tcPr>
          <w:p w14:paraId="022D8846">
            <w:pPr>
              <w:jc w:val="center"/>
              <w:rPr>
                <w:rFonts w:cs="宋体" w:asciiTheme="minorEastAsia" w:hAnsiTheme="minorEastAsia" w:eastAsiaTheme="minorEastAsia"/>
                <w:szCs w:val="21"/>
              </w:rPr>
            </w:pPr>
          </w:p>
        </w:tc>
        <w:tc>
          <w:tcPr>
            <w:tcW w:w="1645" w:type="dxa"/>
            <w:vMerge w:val="continue"/>
            <w:noWrap/>
            <w:vAlign w:val="center"/>
          </w:tcPr>
          <w:p w14:paraId="1C8617C3">
            <w:pPr>
              <w:jc w:val="center"/>
              <w:rPr>
                <w:rFonts w:cs="宋体" w:asciiTheme="minorEastAsia" w:hAnsiTheme="minorEastAsia" w:eastAsiaTheme="minorEastAsia"/>
                <w:szCs w:val="21"/>
              </w:rPr>
            </w:pPr>
          </w:p>
        </w:tc>
      </w:tr>
      <w:tr w14:paraId="54372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5" w:type="dxa"/>
            <w:vMerge w:val="restart"/>
            <w:noWrap/>
            <w:vAlign w:val="center"/>
          </w:tcPr>
          <w:p w14:paraId="18C904C5">
            <w:pPr>
              <w:widowControl/>
              <w:jc w:val="center"/>
              <w:textAlignment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建筑用砂岩</w:t>
            </w:r>
          </w:p>
        </w:tc>
        <w:tc>
          <w:tcPr>
            <w:tcW w:w="1150" w:type="dxa"/>
            <w:noWrap/>
            <w:vAlign w:val="center"/>
          </w:tcPr>
          <w:p w14:paraId="3F6AC1BA">
            <w:pPr>
              <w:widowControl/>
              <w:jc w:val="center"/>
              <w:textAlignment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p>
        </w:tc>
        <w:tc>
          <w:tcPr>
            <w:tcW w:w="1367" w:type="dxa"/>
            <w:noWrap/>
            <w:vAlign w:val="center"/>
          </w:tcPr>
          <w:p w14:paraId="45F11699">
            <w:pPr>
              <w:widowControl/>
              <w:jc w:val="center"/>
              <w:textAlignment w:val="center"/>
              <w:rPr>
                <w:rFonts w:cs="宋体" w:asciiTheme="minorEastAsia" w:hAnsiTheme="minorEastAsia" w:eastAsiaTheme="minorEastAsia"/>
                <w:kern w:val="0"/>
                <w:szCs w:val="21"/>
              </w:rPr>
            </w:pPr>
          </w:p>
        </w:tc>
        <w:tc>
          <w:tcPr>
            <w:tcW w:w="1433" w:type="dxa"/>
            <w:noWrap/>
            <w:vAlign w:val="center"/>
          </w:tcPr>
          <w:p w14:paraId="4D74C2C0">
            <w:pPr>
              <w:widowControl/>
              <w:jc w:val="center"/>
              <w:textAlignment w:val="center"/>
              <w:rPr>
                <w:rFonts w:cs="宋体" w:asciiTheme="minorEastAsia" w:hAnsiTheme="minorEastAsia" w:eastAsiaTheme="minorEastAsia"/>
                <w:kern w:val="0"/>
                <w:szCs w:val="21"/>
              </w:rPr>
            </w:pPr>
          </w:p>
        </w:tc>
        <w:tc>
          <w:tcPr>
            <w:tcW w:w="1333" w:type="dxa"/>
            <w:vMerge w:val="restart"/>
            <w:noWrap/>
            <w:vAlign w:val="center"/>
          </w:tcPr>
          <w:p w14:paraId="57B20271">
            <w:pPr>
              <w:jc w:val="center"/>
              <w:rPr>
                <w:rFonts w:cs="宋体" w:asciiTheme="minorEastAsia" w:hAnsiTheme="minorEastAsia" w:eastAsiaTheme="minorEastAsia"/>
                <w:szCs w:val="21"/>
              </w:rPr>
            </w:pPr>
            <w:r>
              <w:rPr>
                <w:rFonts w:hint="eastAsia" w:cs="宋体" w:asciiTheme="minorEastAsia" w:hAnsiTheme="minorEastAsia" w:eastAsiaTheme="minorEastAsia"/>
                <w:kern w:val="0"/>
                <w:szCs w:val="21"/>
              </w:rPr>
              <w:t>+250～+170</w:t>
            </w:r>
          </w:p>
        </w:tc>
        <w:tc>
          <w:tcPr>
            <w:tcW w:w="1645" w:type="dxa"/>
            <w:vMerge w:val="restart"/>
            <w:noWrap/>
            <w:vAlign w:val="center"/>
          </w:tcPr>
          <w:p w14:paraId="46FC1BE4">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181116</w:t>
            </w:r>
          </w:p>
        </w:tc>
      </w:tr>
      <w:tr w14:paraId="49478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78DD031B">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689EF665">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2</w:t>
            </w:r>
          </w:p>
        </w:tc>
        <w:tc>
          <w:tcPr>
            <w:tcW w:w="1367" w:type="dxa"/>
            <w:noWrap/>
            <w:vAlign w:val="center"/>
          </w:tcPr>
          <w:p w14:paraId="38DAB618">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4CB860A8">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36CDD16B">
            <w:pPr>
              <w:jc w:val="center"/>
              <w:rPr>
                <w:rFonts w:cs="宋体" w:asciiTheme="minorEastAsia" w:hAnsiTheme="minorEastAsia" w:eastAsiaTheme="minorEastAsia"/>
                <w:color w:val="FF0000"/>
                <w:szCs w:val="21"/>
              </w:rPr>
            </w:pPr>
          </w:p>
        </w:tc>
        <w:tc>
          <w:tcPr>
            <w:tcW w:w="1645" w:type="dxa"/>
            <w:vMerge w:val="continue"/>
            <w:noWrap/>
            <w:vAlign w:val="center"/>
          </w:tcPr>
          <w:p w14:paraId="701AF61A">
            <w:pPr>
              <w:jc w:val="center"/>
              <w:rPr>
                <w:rFonts w:cs="宋体" w:asciiTheme="minorEastAsia" w:hAnsiTheme="minorEastAsia" w:eastAsiaTheme="minorEastAsia"/>
                <w:color w:val="FF0000"/>
                <w:szCs w:val="21"/>
              </w:rPr>
            </w:pPr>
          </w:p>
        </w:tc>
      </w:tr>
      <w:tr w14:paraId="3F69A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39E0C6B7">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7D8FCFEF">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3</w:t>
            </w:r>
          </w:p>
        </w:tc>
        <w:tc>
          <w:tcPr>
            <w:tcW w:w="1367" w:type="dxa"/>
            <w:noWrap/>
            <w:vAlign w:val="center"/>
          </w:tcPr>
          <w:p w14:paraId="32C6C709">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1B9D8B6A">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54003D8D">
            <w:pPr>
              <w:jc w:val="center"/>
              <w:rPr>
                <w:rFonts w:cs="宋体" w:asciiTheme="minorEastAsia" w:hAnsiTheme="minorEastAsia" w:eastAsiaTheme="minorEastAsia"/>
                <w:color w:val="FF0000"/>
                <w:szCs w:val="21"/>
              </w:rPr>
            </w:pPr>
          </w:p>
        </w:tc>
        <w:tc>
          <w:tcPr>
            <w:tcW w:w="1645" w:type="dxa"/>
            <w:vMerge w:val="continue"/>
            <w:noWrap/>
            <w:vAlign w:val="center"/>
          </w:tcPr>
          <w:p w14:paraId="717C7C13">
            <w:pPr>
              <w:jc w:val="center"/>
              <w:rPr>
                <w:rFonts w:cs="宋体" w:asciiTheme="minorEastAsia" w:hAnsiTheme="minorEastAsia" w:eastAsiaTheme="minorEastAsia"/>
                <w:color w:val="FF0000"/>
                <w:szCs w:val="21"/>
              </w:rPr>
            </w:pPr>
          </w:p>
        </w:tc>
      </w:tr>
      <w:tr w14:paraId="470EE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7010CFB4">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53832E20">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4</w:t>
            </w:r>
          </w:p>
        </w:tc>
        <w:tc>
          <w:tcPr>
            <w:tcW w:w="1367" w:type="dxa"/>
            <w:noWrap/>
            <w:vAlign w:val="center"/>
          </w:tcPr>
          <w:p w14:paraId="68B08917">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7FAAEE0A">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3ED0C8A2">
            <w:pPr>
              <w:jc w:val="center"/>
              <w:rPr>
                <w:rFonts w:cs="宋体" w:asciiTheme="minorEastAsia" w:hAnsiTheme="minorEastAsia" w:eastAsiaTheme="minorEastAsia"/>
                <w:color w:val="FF0000"/>
                <w:szCs w:val="21"/>
              </w:rPr>
            </w:pPr>
          </w:p>
        </w:tc>
        <w:tc>
          <w:tcPr>
            <w:tcW w:w="1645" w:type="dxa"/>
            <w:vMerge w:val="continue"/>
            <w:noWrap/>
            <w:vAlign w:val="center"/>
          </w:tcPr>
          <w:p w14:paraId="0C9F393F">
            <w:pPr>
              <w:jc w:val="center"/>
              <w:rPr>
                <w:rFonts w:cs="宋体" w:asciiTheme="minorEastAsia" w:hAnsiTheme="minorEastAsia" w:eastAsiaTheme="minorEastAsia"/>
                <w:color w:val="FF0000"/>
                <w:szCs w:val="21"/>
              </w:rPr>
            </w:pPr>
          </w:p>
        </w:tc>
      </w:tr>
      <w:tr w14:paraId="032FF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7F4E0D8E">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13C60B24">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5</w:t>
            </w:r>
          </w:p>
        </w:tc>
        <w:tc>
          <w:tcPr>
            <w:tcW w:w="1367" w:type="dxa"/>
            <w:noWrap/>
            <w:vAlign w:val="center"/>
          </w:tcPr>
          <w:p w14:paraId="599C201D">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0C82BFDD">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764DE347">
            <w:pPr>
              <w:jc w:val="center"/>
              <w:rPr>
                <w:rFonts w:cs="宋体" w:asciiTheme="minorEastAsia" w:hAnsiTheme="minorEastAsia" w:eastAsiaTheme="minorEastAsia"/>
                <w:color w:val="FF0000"/>
                <w:szCs w:val="21"/>
              </w:rPr>
            </w:pPr>
          </w:p>
        </w:tc>
        <w:tc>
          <w:tcPr>
            <w:tcW w:w="1645" w:type="dxa"/>
            <w:vMerge w:val="continue"/>
            <w:noWrap/>
            <w:vAlign w:val="center"/>
          </w:tcPr>
          <w:p w14:paraId="1CA8B4BB">
            <w:pPr>
              <w:jc w:val="center"/>
              <w:rPr>
                <w:rFonts w:cs="宋体" w:asciiTheme="minorEastAsia" w:hAnsiTheme="minorEastAsia" w:eastAsiaTheme="minorEastAsia"/>
                <w:color w:val="FF0000"/>
                <w:szCs w:val="21"/>
              </w:rPr>
            </w:pPr>
          </w:p>
        </w:tc>
      </w:tr>
      <w:tr w14:paraId="657F2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5A288A82">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6F00AD0A">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6</w:t>
            </w:r>
          </w:p>
        </w:tc>
        <w:tc>
          <w:tcPr>
            <w:tcW w:w="1367" w:type="dxa"/>
            <w:noWrap/>
            <w:vAlign w:val="center"/>
          </w:tcPr>
          <w:p w14:paraId="6371033A">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08EB4682">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153608C8">
            <w:pPr>
              <w:jc w:val="center"/>
              <w:rPr>
                <w:rFonts w:cs="宋体" w:asciiTheme="minorEastAsia" w:hAnsiTheme="minorEastAsia" w:eastAsiaTheme="minorEastAsia"/>
                <w:color w:val="FF0000"/>
                <w:szCs w:val="21"/>
              </w:rPr>
            </w:pPr>
          </w:p>
        </w:tc>
        <w:tc>
          <w:tcPr>
            <w:tcW w:w="1645" w:type="dxa"/>
            <w:vMerge w:val="continue"/>
            <w:noWrap/>
            <w:vAlign w:val="center"/>
          </w:tcPr>
          <w:p w14:paraId="1F618741">
            <w:pPr>
              <w:jc w:val="center"/>
              <w:rPr>
                <w:rFonts w:cs="宋体" w:asciiTheme="minorEastAsia" w:hAnsiTheme="minorEastAsia" w:eastAsiaTheme="minorEastAsia"/>
                <w:color w:val="FF0000"/>
                <w:szCs w:val="21"/>
              </w:rPr>
            </w:pPr>
          </w:p>
        </w:tc>
      </w:tr>
      <w:tr w14:paraId="22E8A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52597B1C">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06B5257B">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7</w:t>
            </w:r>
          </w:p>
        </w:tc>
        <w:tc>
          <w:tcPr>
            <w:tcW w:w="1367" w:type="dxa"/>
            <w:noWrap/>
            <w:vAlign w:val="center"/>
          </w:tcPr>
          <w:p w14:paraId="3E074F35">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083249E0">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473FFFBD">
            <w:pPr>
              <w:jc w:val="center"/>
              <w:rPr>
                <w:rFonts w:cs="宋体" w:asciiTheme="minorEastAsia" w:hAnsiTheme="minorEastAsia" w:eastAsiaTheme="minorEastAsia"/>
                <w:color w:val="FF0000"/>
                <w:szCs w:val="21"/>
              </w:rPr>
            </w:pPr>
          </w:p>
        </w:tc>
        <w:tc>
          <w:tcPr>
            <w:tcW w:w="1645" w:type="dxa"/>
            <w:vMerge w:val="continue"/>
            <w:noWrap/>
            <w:vAlign w:val="center"/>
          </w:tcPr>
          <w:p w14:paraId="72D0CCB8">
            <w:pPr>
              <w:jc w:val="center"/>
              <w:rPr>
                <w:rFonts w:cs="宋体" w:asciiTheme="minorEastAsia" w:hAnsiTheme="minorEastAsia" w:eastAsiaTheme="minorEastAsia"/>
                <w:color w:val="FF0000"/>
                <w:szCs w:val="21"/>
              </w:rPr>
            </w:pPr>
          </w:p>
        </w:tc>
      </w:tr>
      <w:tr w14:paraId="1F4C6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5B5DFE43">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6003A6F9">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8</w:t>
            </w:r>
          </w:p>
        </w:tc>
        <w:tc>
          <w:tcPr>
            <w:tcW w:w="1367" w:type="dxa"/>
            <w:noWrap/>
            <w:vAlign w:val="center"/>
          </w:tcPr>
          <w:p w14:paraId="2748A697">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28E6C8DC">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73ED8A46">
            <w:pPr>
              <w:jc w:val="center"/>
              <w:rPr>
                <w:rFonts w:cs="宋体" w:asciiTheme="minorEastAsia" w:hAnsiTheme="minorEastAsia" w:eastAsiaTheme="minorEastAsia"/>
                <w:color w:val="FF0000"/>
                <w:szCs w:val="21"/>
              </w:rPr>
            </w:pPr>
          </w:p>
        </w:tc>
        <w:tc>
          <w:tcPr>
            <w:tcW w:w="1645" w:type="dxa"/>
            <w:vMerge w:val="continue"/>
            <w:noWrap/>
            <w:vAlign w:val="center"/>
          </w:tcPr>
          <w:p w14:paraId="09B4927A">
            <w:pPr>
              <w:jc w:val="center"/>
              <w:rPr>
                <w:rFonts w:cs="宋体" w:asciiTheme="minorEastAsia" w:hAnsiTheme="minorEastAsia" w:eastAsiaTheme="minorEastAsia"/>
                <w:color w:val="FF0000"/>
                <w:szCs w:val="21"/>
              </w:rPr>
            </w:pPr>
          </w:p>
        </w:tc>
      </w:tr>
      <w:tr w14:paraId="38283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706FBEC9">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483D81D7">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9</w:t>
            </w:r>
          </w:p>
        </w:tc>
        <w:tc>
          <w:tcPr>
            <w:tcW w:w="1367" w:type="dxa"/>
            <w:noWrap/>
            <w:vAlign w:val="center"/>
          </w:tcPr>
          <w:p w14:paraId="53353D28">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544FB272">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50676F88">
            <w:pPr>
              <w:jc w:val="center"/>
              <w:rPr>
                <w:rFonts w:cs="宋体" w:asciiTheme="minorEastAsia" w:hAnsiTheme="minorEastAsia" w:eastAsiaTheme="minorEastAsia"/>
                <w:color w:val="FF0000"/>
                <w:szCs w:val="21"/>
              </w:rPr>
            </w:pPr>
          </w:p>
        </w:tc>
        <w:tc>
          <w:tcPr>
            <w:tcW w:w="1645" w:type="dxa"/>
            <w:vMerge w:val="continue"/>
            <w:noWrap/>
            <w:vAlign w:val="center"/>
          </w:tcPr>
          <w:p w14:paraId="5CD8346C">
            <w:pPr>
              <w:jc w:val="center"/>
              <w:rPr>
                <w:rFonts w:cs="宋体" w:asciiTheme="minorEastAsia" w:hAnsiTheme="minorEastAsia" w:eastAsiaTheme="minorEastAsia"/>
                <w:color w:val="FF0000"/>
                <w:szCs w:val="21"/>
              </w:rPr>
            </w:pPr>
          </w:p>
        </w:tc>
      </w:tr>
      <w:tr w14:paraId="0544B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71254384">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7D21BB5C">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10</w:t>
            </w:r>
          </w:p>
        </w:tc>
        <w:tc>
          <w:tcPr>
            <w:tcW w:w="1367" w:type="dxa"/>
            <w:noWrap/>
            <w:vAlign w:val="center"/>
          </w:tcPr>
          <w:p w14:paraId="360C6565">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7E1D3CFF">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21F22CD8">
            <w:pPr>
              <w:jc w:val="center"/>
              <w:rPr>
                <w:rFonts w:cs="宋体" w:asciiTheme="minorEastAsia" w:hAnsiTheme="minorEastAsia" w:eastAsiaTheme="minorEastAsia"/>
                <w:color w:val="FF0000"/>
                <w:szCs w:val="21"/>
              </w:rPr>
            </w:pPr>
          </w:p>
        </w:tc>
        <w:tc>
          <w:tcPr>
            <w:tcW w:w="1645" w:type="dxa"/>
            <w:vMerge w:val="continue"/>
            <w:noWrap/>
            <w:vAlign w:val="center"/>
          </w:tcPr>
          <w:p w14:paraId="1924E9FA">
            <w:pPr>
              <w:jc w:val="center"/>
              <w:rPr>
                <w:rFonts w:cs="宋体" w:asciiTheme="minorEastAsia" w:hAnsiTheme="minorEastAsia" w:eastAsiaTheme="minorEastAsia"/>
                <w:color w:val="FF0000"/>
                <w:szCs w:val="21"/>
              </w:rPr>
            </w:pPr>
          </w:p>
        </w:tc>
      </w:tr>
      <w:tr w14:paraId="00CA2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56C05548">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3858AFD0">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11</w:t>
            </w:r>
          </w:p>
        </w:tc>
        <w:tc>
          <w:tcPr>
            <w:tcW w:w="1367" w:type="dxa"/>
            <w:noWrap/>
            <w:vAlign w:val="center"/>
          </w:tcPr>
          <w:p w14:paraId="6A92C23E">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2CE12A1E">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0060C3D6">
            <w:pPr>
              <w:jc w:val="center"/>
              <w:rPr>
                <w:rFonts w:cs="宋体" w:asciiTheme="minorEastAsia" w:hAnsiTheme="minorEastAsia" w:eastAsiaTheme="minorEastAsia"/>
                <w:color w:val="FF0000"/>
                <w:szCs w:val="21"/>
              </w:rPr>
            </w:pPr>
          </w:p>
        </w:tc>
        <w:tc>
          <w:tcPr>
            <w:tcW w:w="1645" w:type="dxa"/>
            <w:vMerge w:val="continue"/>
            <w:noWrap/>
            <w:vAlign w:val="center"/>
          </w:tcPr>
          <w:p w14:paraId="4E0C8CAE">
            <w:pPr>
              <w:jc w:val="center"/>
              <w:rPr>
                <w:rFonts w:cs="宋体" w:asciiTheme="minorEastAsia" w:hAnsiTheme="minorEastAsia" w:eastAsiaTheme="minorEastAsia"/>
                <w:color w:val="FF0000"/>
                <w:szCs w:val="21"/>
              </w:rPr>
            </w:pPr>
          </w:p>
        </w:tc>
      </w:tr>
      <w:tr w14:paraId="21711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48FA8023">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64B9DF23">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12</w:t>
            </w:r>
          </w:p>
        </w:tc>
        <w:tc>
          <w:tcPr>
            <w:tcW w:w="1367" w:type="dxa"/>
            <w:noWrap/>
            <w:vAlign w:val="center"/>
          </w:tcPr>
          <w:p w14:paraId="16D6C4A4">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367E9A74">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6642DB46">
            <w:pPr>
              <w:jc w:val="center"/>
              <w:rPr>
                <w:rFonts w:cs="宋体" w:asciiTheme="minorEastAsia" w:hAnsiTheme="minorEastAsia" w:eastAsiaTheme="minorEastAsia"/>
                <w:color w:val="FF0000"/>
                <w:szCs w:val="21"/>
              </w:rPr>
            </w:pPr>
          </w:p>
        </w:tc>
        <w:tc>
          <w:tcPr>
            <w:tcW w:w="1645" w:type="dxa"/>
            <w:vMerge w:val="continue"/>
            <w:noWrap/>
            <w:vAlign w:val="center"/>
          </w:tcPr>
          <w:p w14:paraId="75FEF244">
            <w:pPr>
              <w:jc w:val="center"/>
              <w:rPr>
                <w:rFonts w:cs="宋体" w:asciiTheme="minorEastAsia" w:hAnsiTheme="minorEastAsia" w:eastAsiaTheme="minorEastAsia"/>
                <w:color w:val="FF0000"/>
                <w:szCs w:val="21"/>
              </w:rPr>
            </w:pPr>
          </w:p>
        </w:tc>
      </w:tr>
      <w:tr w14:paraId="797A0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6925CFED">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4C764273">
            <w:pPr>
              <w:widowControl/>
              <w:jc w:val="center"/>
              <w:textAlignment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w:t>
            </w:r>
          </w:p>
        </w:tc>
        <w:tc>
          <w:tcPr>
            <w:tcW w:w="1367" w:type="dxa"/>
            <w:noWrap/>
            <w:vAlign w:val="center"/>
          </w:tcPr>
          <w:p w14:paraId="1485F195">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01AB5991">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7CE3D35B">
            <w:pPr>
              <w:jc w:val="center"/>
              <w:rPr>
                <w:rFonts w:cs="宋体" w:asciiTheme="minorEastAsia" w:hAnsiTheme="minorEastAsia" w:eastAsiaTheme="minorEastAsia"/>
                <w:color w:val="FF0000"/>
                <w:szCs w:val="21"/>
              </w:rPr>
            </w:pPr>
          </w:p>
        </w:tc>
        <w:tc>
          <w:tcPr>
            <w:tcW w:w="1645" w:type="dxa"/>
            <w:vMerge w:val="continue"/>
            <w:noWrap/>
            <w:vAlign w:val="center"/>
          </w:tcPr>
          <w:p w14:paraId="2EFF992F">
            <w:pPr>
              <w:jc w:val="center"/>
              <w:rPr>
                <w:rFonts w:cs="宋体" w:asciiTheme="minorEastAsia" w:hAnsiTheme="minorEastAsia" w:eastAsiaTheme="minorEastAsia"/>
                <w:color w:val="FF0000"/>
                <w:szCs w:val="21"/>
              </w:rPr>
            </w:pPr>
          </w:p>
        </w:tc>
      </w:tr>
      <w:tr w14:paraId="273D2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5420E253">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21C262F9">
            <w:pPr>
              <w:widowControl/>
              <w:jc w:val="center"/>
              <w:textAlignment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14</w:t>
            </w:r>
          </w:p>
        </w:tc>
        <w:tc>
          <w:tcPr>
            <w:tcW w:w="1367" w:type="dxa"/>
            <w:noWrap/>
            <w:vAlign w:val="center"/>
          </w:tcPr>
          <w:p w14:paraId="70192EAC">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7CA14968">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49BCABEE">
            <w:pPr>
              <w:jc w:val="center"/>
              <w:rPr>
                <w:rFonts w:cs="宋体" w:asciiTheme="minorEastAsia" w:hAnsiTheme="minorEastAsia" w:eastAsiaTheme="minorEastAsia"/>
                <w:color w:val="FF0000"/>
                <w:szCs w:val="21"/>
              </w:rPr>
            </w:pPr>
          </w:p>
        </w:tc>
        <w:tc>
          <w:tcPr>
            <w:tcW w:w="1645" w:type="dxa"/>
            <w:vMerge w:val="continue"/>
            <w:noWrap/>
            <w:vAlign w:val="center"/>
          </w:tcPr>
          <w:p w14:paraId="1369FD02">
            <w:pPr>
              <w:jc w:val="center"/>
              <w:rPr>
                <w:rFonts w:cs="宋体" w:asciiTheme="minorEastAsia" w:hAnsiTheme="minorEastAsia" w:eastAsiaTheme="minorEastAsia"/>
                <w:color w:val="FF0000"/>
                <w:szCs w:val="21"/>
              </w:rPr>
            </w:pPr>
          </w:p>
        </w:tc>
      </w:tr>
      <w:tr w14:paraId="7A10F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33C9F14A">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483FD800">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15</w:t>
            </w:r>
          </w:p>
        </w:tc>
        <w:tc>
          <w:tcPr>
            <w:tcW w:w="1367" w:type="dxa"/>
            <w:noWrap/>
            <w:vAlign w:val="center"/>
          </w:tcPr>
          <w:p w14:paraId="14E5D6BA">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0B785C21">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711747F5">
            <w:pPr>
              <w:jc w:val="center"/>
              <w:rPr>
                <w:rFonts w:cs="宋体" w:asciiTheme="minorEastAsia" w:hAnsiTheme="minorEastAsia" w:eastAsiaTheme="minorEastAsia"/>
                <w:color w:val="FF0000"/>
                <w:szCs w:val="21"/>
              </w:rPr>
            </w:pPr>
          </w:p>
        </w:tc>
        <w:tc>
          <w:tcPr>
            <w:tcW w:w="1645" w:type="dxa"/>
            <w:vMerge w:val="continue"/>
            <w:noWrap/>
            <w:vAlign w:val="center"/>
          </w:tcPr>
          <w:p w14:paraId="2169ACD6">
            <w:pPr>
              <w:jc w:val="center"/>
              <w:rPr>
                <w:rFonts w:cs="宋体" w:asciiTheme="minorEastAsia" w:hAnsiTheme="minorEastAsia" w:eastAsiaTheme="minorEastAsia"/>
                <w:color w:val="FF0000"/>
                <w:szCs w:val="21"/>
              </w:rPr>
            </w:pPr>
          </w:p>
        </w:tc>
      </w:tr>
      <w:tr w14:paraId="66B92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265B2907">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39CDB289">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16</w:t>
            </w:r>
          </w:p>
        </w:tc>
        <w:tc>
          <w:tcPr>
            <w:tcW w:w="1367" w:type="dxa"/>
            <w:noWrap/>
            <w:vAlign w:val="center"/>
          </w:tcPr>
          <w:p w14:paraId="37BCD4C3">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6D5C5FC3">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37125214">
            <w:pPr>
              <w:jc w:val="center"/>
              <w:rPr>
                <w:rFonts w:cs="宋体" w:asciiTheme="minorEastAsia" w:hAnsiTheme="minorEastAsia" w:eastAsiaTheme="minorEastAsia"/>
                <w:color w:val="FF0000"/>
                <w:szCs w:val="21"/>
              </w:rPr>
            </w:pPr>
          </w:p>
        </w:tc>
        <w:tc>
          <w:tcPr>
            <w:tcW w:w="1645" w:type="dxa"/>
            <w:vMerge w:val="continue"/>
            <w:noWrap/>
            <w:vAlign w:val="center"/>
          </w:tcPr>
          <w:p w14:paraId="4B84A083">
            <w:pPr>
              <w:jc w:val="center"/>
              <w:rPr>
                <w:rFonts w:cs="宋体" w:asciiTheme="minorEastAsia" w:hAnsiTheme="minorEastAsia" w:eastAsiaTheme="minorEastAsia"/>
                <w:color w:val="FF0000"/>
                <w:szCs w:val="21"/>
              </w:rPr>
            </w:pPr>
          </w:p>
        </w:tc>
      </w:tr>
      <w:tr w14:paraId="47FC3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0652577A">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5C830585">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17</w:t>
            </w:r>
          </w:p>
        </w:tc>
        <w:tc>
          <w:tcPr>
            <w:tcW w:w="1367" w:type="dxa"/>
            <w:noWrap/>
            <w:vAlign w:val="center"/>
          </w:tcPr>
          <w:p w14:paraId="725E92EA">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4E28085E">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02F17D8E">
            <w:pPr>
              <w:jc w:val="center"/>
              <w:rPr>
                <w:rFonts w:cs="宋体" w:asciiTheme="minorEastAsia" w:hAnsiTheme="minorEastAsia" w:eastAsiaTheme="minorEastAsia"/>
                <w:color w:val="FF0000"/>
                <w:szCs w:val="21"/>
              </w:rPr>
            </w:pPr>
          </w:p>
        </w:tc>
        <w:tc>
          <w:tcPr>
            <w:tcW w:w="1645" w:type="dxa"/>
            <w:vMerge w:val="continue"/>
            <w:noWrap/>
            <w:vAlign w:val="center"/>
          </w:tcPr>
          <w:p w14:paraId="7ED45034">
            <w:pPr>
              <w:jc w:val="center"/>
              <w:rPr>
                <w:rFonts w:cs="宋体" w:asciiTheme="minorEastAsia" w:hAnsiTheme="minorEastAsia" w:eastAsiaTheme="minorEastAsia"/>
                <w:color w:val="FF0000"/>
                <w:szCs w:val="21"/>
              </w:rPr>
            </w:pPr>
          </w:p>
        </w:tc>
      </w:tr>
      <w:tr w14:paraId="0BCAA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0A58EC22">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530FE6AE">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18</w:t>
            </w:r>
          </w:p>
        </w:tc>
        <w:tc>
          <w:tcPr>
            <w:tcW w:w="1367" w:type="dxa"/>
            <w:noWrap/>
            <w:vAlign w:val="center"/>
          </w:tcPr>
          <w:p w14:paraId="28018EA0">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7FDADF0B">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14F5DDF1">
            <w:pPr>
              <w:jc w:val="center"/>
              <w:rPr>
                <w:rFonts w:cs="宋体" w:asciiTheme="minorEastAsia" w:hAnsiTheme="minorEastAsia" w:eastAsiaTheme="minorEastAsia"/>
                <w:color w:val="FF0000"/>
                <w:szCs w:val="21"/>
              </w:rPr>
            </w:pPr>
          </w:p>
        </w:tc>
        <w:tc>
          <w:tcPr>
            <w:tcW w:w="1645" w:type="dxa"/>
            <w:vMerge w:val="continue"/>
            <w:noWrap/>
            <w:vAlign w:val="center"/>
          </w:tcPr>
          <w:p w14:paraId="45A032CA">
            <w:pPr>
              <w:jc w:val="center"/>
              <w:rPr>
                <w:rFonts w:cs="宋体" w:asciiTheme="minorEastAsia" w:hAnsiTheme="minorEastAsia" w:eastAsiaTheme="minorEastAsia"/>
                <w:color w:val="FF0000"/>
                <w:szCs w:val="21"/>
              </w:rPr>
            </w:pPr>
          </w:p>
        </w:tc>
      </w:tr>
      <w:tr w14:paraId="6605E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7A7D12CB">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13A9D9E8">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19</w:t>
            </w:r>
          </w:p>
        </w:tc>
        <w:tc>
          <w:tcPr>
            <w:tcW w:w="1367" w:type="dxa"/>
            <w:noWrap/>
            <w:vAlign w:val="center"/>
          </w:tcPr>
          <w:p w14:paraId="0D91C580">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3A4B6986">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117EF441">
            <w:pPr>
              <w:jc w:val="center"/>
              <w:rPr>
                <w:rFonts w:cs="宋体" w:asciiTheme="minorEastAsia" w:hAnsiTheme="minorEastAsia" w:eastAsiaTheme="minorEastAsia"/>
                <w:color w:val="FF0000"/>
                <w:szCs w:val="21"/>
              </w:rPr>
            </w:pPr>
          </w:p>
        </w:tc>
        <w:tc>
          <w:tcPr>
            <w:tcW w:w="1645" w:type="dxa"/>
            <w:vMerge w:val="continue"/>
            <w:noWrap/>
            <w:vAlign w:val="center"/>
          </w:tcPr>
          <w:p w14:paraId="3F375710">
            <w:pPr>
              <w:jc w:val="center"/>
              <w:rPr>
                <w:rFonts w:cs="宋体" w:asciiTheme="minorEastAsia" w:hAnsiTheme="minorEastAsia" w:eastAsiaTheme="minorEastAsia"/>
                <w:color w:val="FF0000"/>
                <w:szCs w:val="21"/>
              </w:rPr>
            </w:pPr>
          </w:p>
        </w:tc>
      </w:tr>
      <w:tr w14:paraId="72EE8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044E6498">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47630462">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20</w:t>
            </w:r>
          </w:p>
        </w:tc>
        <w:tc>
          <w:tcPr>
            <w:tcW w:w="1367" w:type="dxa"/>
            <w:noWrap/>
            <w:vAlign w:val="center"/>
          </w:tcPr>
          <w:p w14:paraId="6CBB0A16">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500CCD64">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050F17CC">
            <w:pPr>
              <w:jc w:val="center"/>
              <w:rPr>
                <w:rFonts w:cs="宋体" w:asciiTheme="minorEastAsia" w:hAnsiTheme="minorEastAsia" w:eastAsiaTheme="minorEastAsia"/>
                <w:color w:val="FF0000"/>
                <w:szCs w:val="21"/>
              </w:rPr>
            </w:pPr>
          </w:p>
        </w:tc>
        <w:tc>
          <w:tcPr>
            <w:tcW w:w="1645" w:type="dxa"/>
            <w:vMerge w:val="continue"/>
            <w:noWrap/>
            <w:vAlign w:val="center"/>
          </w:tcPr>
          <w:p w14:paraId="2023B096">
            <w:pPr>
              <w:jc w:val="center"/>
              <w:rPr>
                <w:rFonts w:cs="宋体" w:asciiTheme="minorEastAsia" w:hAnsiTheme="minorEastAsia" w:eastAsiaTheme="minorEastAsia"/>
                <w:color w:val="FF0000"/>
                <w:szCs w:val="21"/>
              </w:rPr>
            </w:pPr>
          </w:p>
        </w:tc>
      </w:tr>
      <w:tr w14:paraId="4679B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680C86CE">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4D6C75C5">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21</w:t>
            </w:r>
          </w:p>
        </w:tc>
        <w:tc>
          <w:tcPr>
            <w:tcW w:w="1367" w:type="dxa"/>
            <w:noWrap/>
            <w:vAlign w:val="center"/>
          </w:tcPr>
          <w:p w14:paraId="76EA5EE9">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3C71A708">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4191D4FB">
            <w:pPr>
              <w:jc w:val="center"/>
              <w:rPr>
                <w:rFonts w:cs="宋体" w:asciiTheme="minorEastAsia" w:hAnsiTheme="minorEastAsia" w:eastAsiaTheme="minorEastAsia"/>
                <w:color w:val="FF0000"/>
                <w:szCs w:val="21"/>
              </w:rPr>
            </w:pPr>
          </w:p>
        </w:tc>
        <w:tc>
          <w:tcPr>
            <w:tcW w:w="1645" w:type="dxa"/>
            <w:vMerge w:val="continue"/>
            <w:noWrap/>
            <w:vAlign w:val="center"/>
          </w:tcPr>
          <w:p w14:paraId="1EC0224A">
            <w:pPr>
              <w:jc w:val="center"/>
              <w:rPr>
                <w:rFonts w:cs="宋体" w:asciiTheme="minorEastAsia" w:hAnsiTheme="minorEastAsia" w:eastAsiaTheme="minorEastAsia"/>
                <w:color w:val="FF0000"/>
                <w:szCs w:val="21"/>
              </w:rPr>
            </w:pPr>
          </w:p>
        </w:tc>
      </w:tr>
      <w:tr w14:paraId="54627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15" w:type="dxa"/>
            <w:vMerge w:val="continue"/>
            <w:noWrap/>
            <w:vAlign w:val="center"/>
          </w:tcPr>
          <w:p w14:paraId="73A3A304">
            <w:pPr>
              <w:widowControl/>
              <w:jc w:val="center"/>
              <w:textAlignment w:val="center"/>
              <w:rPr>
                <w:rFonts w:cs="宋体" w:asciiTheme="minorEastAsia" w:hAnsiTheme="minorEastAsia" w:eastAsiaTheme="minorEastAsia"/>
                <w:color w:val="FF0000"/>
                <w:kern w:val="0"/>
                <w:szCs w:val="21"/>
              </w:rPr>
            </w:pPr>
          </w:p>
        </w:tc>
        <w:tc>
          <w:tcPr>
            <w:tcW w:w="1150" w:type="dxa"/>
            <w:noWrap/>
            <w:vAlign w:val="center"/>
          </w:tcPr>
          <w:p w14:paraId="7008F322">
            <w:pPr>
              <w:widowControl/>
              <w:jc w:val="center"/>
              <w:textAlignment w:val="center"/>
              <w:rPr>
                <w:rFonts w:cs="宋体" w:asciiTheme="minorEastAsia" w:hAnsiTheme="minorEastAsia" w:eastAsiaTheme="minorEastAsia"/>
                <w:color w:val="FF0000"/>
                <w:kern w:val="0"/>
                <w:szCs w:val="21"/>
              </w:rPr>
            </w:pPr>
            <w:r>
              <w:rPr>
                <w:rFonts w:hint="eastAsia" w:cs="宋体" w:asciiTheme="minorEastAsia" w:hAnsiTheme="minorEastAsia" w:eastAsiaTheme="minorEastAsia"/>
                <w:color w:val="000000"/>
                <w:kern w:val="0"/>
                <w:szCs w:val="21"/>
              </w:rPr>
              <w:t>22</w:t>
            </w:r>
          </w:p>
        </w:tc>
        <w:tc>
          <w:tcPr>
            <w:tcW w:w="1367" w:type="dxa"/>
            <w:noWrap/>
            <w:vAlign w:val="center"/>
          </w:tcPr>
          <w:p w14:paraId="7FC3553C">
            <w:pPr>
              <w:widowControl/>
              <w:jc w:val="center"/>
              <w:textAlignment w:val="center"/>
              <w:rPr>
                <w:rFonts w:cs="宋体" w:asciiTheme="minorEastAsia" w:hAnsiTheme="minorEastAsia" w:eastAsiaTheme="minorEastAsia"/>
                <w:color w:val="FF0000"/>
                <w:kern w:val="0"/>
                <w:szCs w:val="21"/>
              </w:rPr>
            </w:pPr>
          </w:p>
        </w:tc>
        <w:tc>
          <w:tcPr>
            <w:tcW w:w="1433" w:type="dxa"/>
            <w:noWrap/>
            <w:vAlign w:val="center"/>
          </w:tcPr>
          <w:p w14:paraId="28B3CDF3">
            <w:pPr>
              <w:widowControl/>
              <w:jc w:val="center"/>
              <w:textAlignment w:val="center"/>
              <w:rPr>
                <w:rFonts w:cs="宋体" w:asciiTheme="minorEastAsia" w:hAnsiTheme="minorEastAsia" w:eastAsiaTheme="minorEastAsia"/>
                <w:color w:val="FF0000"/>
                <w:kern w:val="0"/>
                <w:szCs w:val="21"/>
              </w:rPr>
            </w:pPr>
          </w:p>
        </w:tc>
        <w:tc>
          <w:tcPr>
            <w:tcW w:w="1333" w:type="dxa"/>
            <w:vMerge w:val="continue"/>
            <w:noWrap/>
            <w:vAlign w:val="center"/>
          </w:tcPr>
          <w:p w14:paraId="5F8C94E6">
            <w:pPr>
              <w:jc w:val="center"/>
              <w:rPr>
                <w:rFonts w:cs="宋体" w:asciiTheme="minorEastAsia" w:hAnsiTheme="minorEastAsia" w:eastAsiaTheme="minorEastAsia"/>
                <w:color w:val="FF0000"/>
                <w:szCs w:val="21"/>
              </w:rPr>
            </w:pPr>
          </w:p>
        </w:tc>
        <w:tc>
          <w:tcPr>
            <w:tcW w:w="1645" w:type="dxa"/>
            <w:vMerge w:val="continue"/>
            <w:noWrap/>
            <w:vAlign w:val="center"/>
          </w:tcPr>
          <w:p w14:paraId="79F8C988">
            <w:pPr>
              <w:jc w:val="center"/>
              <w:rPr>
                <w:rFonts w:cs="宋体" w:asciiTheme="minorEastAsia" w:hAnsiTheme="minorEastAsia" w:eastAsiaTheme="minorEastAsia"/>
                <w:color w:val="FF0000"/>
                <w:szCs w:val="21"/>
              </w:rPr>
            </w:pPr>
          </w:p>
        </w:tc>
      </w:tr>
      <w:bookmarkEnd w:id="148"/>
      <w:bookmarkEnd w:id="149"/>
      <w:bookmarkEnd w:id="150"/>
    </w:tbl>
    <w:p w14:paraId="493BD5B5">
      <w:pPr>
        <w:spacing w:line="91" w:lineRule="auto"/>
        <w:rPr>
          <w:rFonts w:ascii="Arial"/>
          <w:color w:val="FF0000"/>
          <w:sz w:val="2"/>
        </w:rPr>
      </w:pPr>
      <w:bookmarkStart w:id="151" w:name="_Toc181797717"/>
      <w:bookmarkStart w:id="152" w:name="_Toc584"/>
      <w:bookmarkStart w:id="153" w:name="_Toc25658"/>
      <w:bookmarkStart w:id="154" w:name="_Toc167307748"/>
    </w:p>
    <w:p w14:paraId="45F750CD">
      <w:pPr>
        <w:pStyle w:val="78"/>
        <w:spacing w:line="360" w:lineRule="auto"/>
        <w:ind w:firstLine="602" w:firstLineChars="200"/>
        <w:rPr>
          <w:rFonts w:ascii="宋体"/>
          <w:szCs w:val="30"/>
        </w:rPr>
      </w:pPr>
      <w:bookmarkStart w:id="155" w:name="bookmark15"/>
      <w:bookmarkEnd w:id="155"/>
      <w:bookmarkStart w:id="156" w:name="_Toc7904"/>
      <w:r>
        <w:rPr>
          <w:rFonts w:hint="eastAsia" w:ascii="宋体"/>
          <w:szCs w:val="30"/>
        </w:rPr>
        <w:t>（三）露天剥离范围</w:t>
      </w:r>
      <w:bookmarkEnd w:id="156"/>
    </w:p>
    <w:p w14:paraId="404108B4">
      <w:pPr>
        <w:pStyle w:val="5"/>
        <w:spacing w:afterLines="50" w:line="360" w:lineRule="auto"/>
        <w:ind w:firstLine="542" w:firstLineChars="200"/>
        <w:rPr>
          <w:rFonts w:ascii="宋体" w:hAnsi="宋体" w:cs="宋体"/>
          <w:sz w:val="28"/>
          <w:szCs w:val="28"/>
        </w:rPr>
      </w:pPr>
      <w:r>
        <w:rPr>
          <w:rFonts w:ascii="宋体" w:hAnsi="宋体" w:cs="宋体"/>
          <w:spacing w:val="-5"/>
          <w:sz w:val="28"/>
          <w:szCs w:val="28"/>
        </w:rPr>
        <w:t>1、露天剥离范围合规性说明</w:t>
      </w:r>
    </w:p>
    <w:p w14:paraId="3BA54C51">
      <w:pPr>
        <w:spacing w:before="5" w:line="409" w:lineRule="auto"/>
        <w:ind w:left="1" w:right="18" w:firstLine="567"/>
        <w:rPr>
          <w:rFonts w:ascii="宋体" w:hAnsi="宋体" w:cs="宋体"/>
          <w:spacing w:val="2"/>
          <w:sz w:val="28"/>
          <w:szCs w:val="28"/>
        </w:rPr>
      </w:pPr>
      <w:r>
        <w:rPr>
          <w:rFonts w:hint="eastAsia" w:ascii="宋体" w:hAnsi="宋体" w:cs="宋体"/>
          <w:spacing w:val="2"/>
          <w:sz w:val="28"/>
          <w:szCs w:val="28"/>
        </w:rPr>
        <w:t>（1）现状露天剥离范围</w:t>
      </w:r>
    </w:p>
    <w:p w14:paraId="57A00572">
      <w:pPr>
        <w:spacing w:before="5" w:line="409" w:lineRule="auto"/>
        <w:ind w:left="1" w:right="18" w:firstLine="567"/>
        <w:rPr>
          <w:rFonts w:ascii="宋体" w:hAnsi="宋体" w:cs="宋体"/>
          <w:spacing w:val="2"/>
          <w:sz w:val="28"/>
          <w:szCs w:val="28"/>
        </w:rPr>
      </w:pPr>
      <w:r>
        <w:rPr>
          <w:rFonts w:hint="eastAsia" w:ascii="宋体" w:hAnsi="宋体" w:cs="宋体"/>
          <w:spacing w:val="2"/>
          <w:sz w:val="28"/>
          <w:szCs w:val="28"/>
        </w:rPr>
        <w:t>原新世捷矿业有限公司采矿权南西侧有部分露天剥离范围位于界外，当地主管部门已将其纳入闭坑治理任务中，待集中开采区设立新采矿权并完成出让后，由取得该采矿权的责任单位进行治理。</w:t>
      </w:r>
    </w:p>
    <w:p w14:paraId="722C3690">
      <w:pPr>
        <w:spacing w:before="5" w:line="409" w:lineRule="auto"/>
        <w:ind w:left="1" w:right="18" w:firstLine="567"/>
        <w:rPr>
          <w:rFonts w:ascii="宋体" w:hAnsi="宋体" w:cs="宋体"/>
          <w:spacing w:val="2"/>
          <w:sz w:val="28"/>
          <w:szCs w:val="28"/>
        </w:rPr>
      </w:pPr>
      <w:r>
        <w:rPr>
          <w:rFonts w:hint="eastAsia" w:ascii="宋体" w:hAnsi="宋体" w:cs="宋体"/>
          <w:spacing w:val="2"/>
          <w:sz w:val="28"/>
          <w:szCs w:val="28"/>
        </w:rPr>
        <w:t>（2）设计露天剥离范围</w:t>
      </w:r>
    </w:p>
    <w:p w14:paraId="2609F991">
      <w:pPr>
        <w:spacing w:before="5" w:line="409" w:lineRule="auto"/>
        <w:ind w:left="1" w:right="18" w:firstLine="567"/>
        <w:rPr>
          <w:rFonts w:ascii="宋体" w:hAnsi="宋体" w:cs="宋体"/>
          <w:spacing w:val="-2"/>
          <w:sz w:val="28"/>
          <w:szCs w:val="28"/>
        </w:rPr>
      </w:pPr>
      <w:r>
        <w:rPr>
          <w:rFonts w:ascii="宋体" w:hAnsi="宋体" w:cs="宋体"/>
          <w:spacing w:val="2"/>
          <w:sz w:val="28"/>
          <w:szCs w:val="28"/>
        </w:rPr>
        <w:t>根据</w:t>
      </w:r>
      <w:r>
        <w:rPr>
          <w:rFonts w:hint="eastAsia" w:ascii="宋体" w:cs="宋体"/>
          <w:kern w:val="0"/>
          <w:sz w:val="28"/>
          <w:szCs w:val="28"/>
        </w:rPr>
        <w:t>矿区范围和储量估算范围</w:t>
      </w:r>
      <w:r>
        <w:rPr>
          <w:rFonts w:ascii="宋体" w:hAnsi="宋体" w:cs="宋体"/>
          <w:spacing w:val="2"/>
          <w:sz w:val="28"/>
          <w:szCs w:val="28"/>
        </w:rPr>
        <w:t>，</w:t>
      </w:r>
      <w:r>
        <w:rPr>
          <w:rFonts w:hint="eastAsia" w:ascii="宋体" w:hAnsi="宋体" w:cs="宋体"/>
          <w:spacing w:val="2"/>
          <w:sz w:val="28"/>
          <w:szCs w:val="28"/>
        </w:rPr>
        <w:t>设计对矿区内的建筑用白云岩和砂岩矿体进行开采，</w:t>
      </w:r>
      <w:r>
        <w:rPr>
          <w:rFonts w:ascii="宋体" w:hAnsi="宋体" w:cs="宋体"/>
          <w:spacing w:val="2"/>
          <w:sz w:val="28"/>
          <w:szCs w:val="28"/>
        </w:rPr>
        <w:t>设计的露天剥离范围全部</w:t>
      </w:r>
      <w:r>
        <w:rPr>
          <w:rFonts w:hint="eastAsia" w:ascii="宋体" w:hAnsi="宋体" w:cs="宋体"/>
          <w:spacing w:val="2"/>
          <w:sz w:val="28"/>
          <w:szCs w:val="28"/>
        </w:rPr>
        <w:t>位于</w:t>
      </w:r>
      <w:r>
        <w:rPr>
          <w:rFonts w:ascii="宋体" w:hAnsi="宋体" w:cs="宋体"/>
          <w:spacing w:val="1"/>
          <w:sz w:val="28"/>
          <w:szCs w:val="28"/>
        </w:rPr>
        <w:t>拟设矿区范围内</w:t>
      </w:r>
      <w:r>
        <w:rPr>
          <w:rFonts w:ascii="宋体" w:hAnsi="宋体" w:cs="宋体"/>
          <w:spacing w:val="-2"/>
          <w:sz w:val="28"/>
          <w:szCs w:val="28"/>
        </w:rPr>
        <w:t>，</w:t>
      </w:r>
      <w:r>
        <w:rPr>
          <w:rFonts w:hint="eastAsia" w:ascii="宋体" w:hAnsi="宋体" w:cs="宋体"/>
          <w:spacing w:val="-2"/>
          <w:sz w:val="28"/>
          <w:szCs w:val="28"/>
        </w:rPr>
        <w:t>不</w:t>
      </w:r>
      <w:r>
        <w:rPr>
          <w:rFonts w:ascii="宋体" w:hAnsi="宋体" w:cs="宋体"/>
          <w:spacing w:val="-2"/>
          <w:sz w:val="28"/>
          <w:szCs w:val="28"/>
        </w:rPr>
        <w:t>超出</w:t>
      </w:r>
      <w:r>
        <w:rPr>
          <w:rFonts w:hint="eastAsia" w:ascii="宋体" w:hAnsi="宋体" w:cs="宋体"/>
          <w:spacing w:val="-2"/>
          <w:sz w:val="28"/>
          <w:szCs w:val="28"/>
        </w:rPr>
        <w:t>集中</w:t>
      </w:r>
      <w:r>
        <w:rPr>
          <w:rFonts w:ascii="宋体" w:hAnsi="宋体" w:cs="宋体"/>
          <w:spacing w:val="-2"/>
          <w:sz w:val="28"/>
          <w:szCs w:val="28"/>
        </w:rPr>
        <w:t>开采区范围。</w:t>
      </w:r>
    </w:p>
    <w:p w14:paraId="4EF1A18C">
      <w:pPr>
        <w:spacing w:line="360" w:lineRule="auto"/>
        <w:jc w:val="center"/>
        <w:rPr>
          <w:rFonts w:ascii="宋体" w:hAnsi="宋体" w:cs="宋体"/>
          <w:b/>
          <w:bCs/>
          <w:spacing w:val="-7"/>
          <w:szCs w:val="21"/>
        </w:rPr>
      </w:pPr>
      <w:r>
        <w:rPr>
          <w:rFonts w:hint="eastAsia" w:ascii="宋体" w:hAnsi="宋体" w:cs="宋体"/>
          <w:b/>
          <w:bCs/>
          <w:spacing w:val="-7"/>
          <w:szCs w:val="21"/>
        </w:rPr>
        <w:t>表 3-2    露天剥离范围拐点坐标表</w:t>
      </w:r>
    </w:p>
    <w:tbl>
      <w:tblPr>
        <w:tblStyle w:val="42"/>
        <w:tblW w:w="435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95"/>
        <w:gridCol w:w="2527"/>
        <w:gridCol w:w="3046"/>
        <w:gridCol w:w="1254"/>
      </w:tblGrid>
      <w:tr w14:paraId="76D862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vMerge w:val="restart"/>
            <w:tcBorders>
              <w:top w:val="single" w:color="000000" w:sz="6" w:space="0"/>
              <w:left w:val="single" w:color="000000" w:sz="6" w:space="0"/>
              <w:bottom w:val="single" w:color="000000" w:sz="6" w:space="0"/>
              <w:right w:val="single" w:color="000000" w:sz="6" w:space="0"/>
            </w:tcBorders>
            <w:vAlign w:val="center"/>
          </w:tcPr>
          <w:p w14:paraId="2C330BC8">
            <w:pPr>
              <w:pStyle w:val="119"/>
              <w:spacing w:line="0" w:lineRule="atLeast"/>
              <w:ind w:left="-4"/>
              <w:jc w:val="center"/>
              <w:rPr>
                <w:rFonts w:asciiTheme="minorEastAsia" w:hAnsiTheme="minorEastAsia" w:eastAsiaTheme="minorEastAsia"/>
                <w:sz w:val="21"/>
                <w:szCs w:val="21"/>
              </w:rPr>
            </w:pPr>
            <w:r>
              <w:rPr>
                <w:rFonts w:hint="eastAsia" w:asciiTheme="minorEastAsia" w:hAnsiTheme="minorEastAsia" w:eastAsiaTheme="minorEastAsia"/>
                <w:spacing w:val="-6"/>
                <w:sz w:val="21"/>
                <w:szCs w:val="21"/>
              </w:rPr>
              <w:t>拐点</w:t>
            </w:r>
          </w:p>
          <w:p w14:paraId="53B6BD90">
            <w:pPr>
              <w:pStyle w:val="119"/>
              <w:spacing w:line="0" w:lineRule="atLeast"/>
              <w:ind w:left="-4"/>
              <w:jc w:val="center"/>
              <w:rPr>
                <w:rFonts w:asciiTheme="minorEastAsia" w:hAnsiTheme="minorEastAsia" w:eastAsiaTheme="minorEastAsia"/>
                <w:sz w:val="21"/>
                <w:szCs w:val="21"/>
              </w:rPr>
            </w:pPr>
            <w:r>
              <w:rPr>
                <w:rFonts w:hint="eastAsia" w:asciiTheme="minorEastAsia" w:hAnsiTheme="minorEastAsia" w:eastAsiaTheme="minorEastAsia"/>
                <w:spacing w:val="-6"/>
                <w:sz w:val="21"/>
                <w:szCs w:val="21"/>
              </w:rPr>
              <w:t>编号</w:t>
            </w:r>
          </w:p>
        </w:tc>
        <w:tc>
          <w:tcPr>
            <w:tcW w:w="5573" w:type="dxa"/>
            <w:gridSpan w:val="2"/>
            <w:tcBorders>
              <w:top w:val="single" w:color="000000" w:sz="6" w:space="0"/>
              <w:left w:val="single" w:color="000000" w:sz="6" w:space="0"/>
              <w:bottom w:val="single" w:color="000000" w:sz="6" w:space="0"/>
              <w:right w:val="single" w:color="000000" w:sz="6" w:space="0"/>
            </w:tcBorders>
            <w:vAlign w:val="center"/>
          </w:tcPr>
          <w:p w14:paraId="6FADDA30">
            <w:pPr>
              <w:pStyle w:val="119"/>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pacing w:val="-5"/>
                <w:sz w:val="21"/>
                <w:szCs w:val="21"/>
              </w:rPr>
              <w:t>2000国家大地坐标系</w:t>
            </w:r>
          </w:p>
        </w:tc>
        <w:tc>
          <w:tcPr>
            <w:tcW w:w="1254" w:type="dxa"/>
            <w:vMerge w:val="restart"/>
            <w:tcBorders>
              <w:top w:val="single" w:color="000000" w:sz="6" w:space="0"/>
              <w:left w:val="single" w:color="000000" w:sz="6" w:space="0"/>
              <w:right w:val="single" w:color="000000" w:sz="6" w:space="0"/>
            </w:tcBorders>
            <w:vAlign w:val="center"/>
          </w:tcPr>
          <w:p w14:paraId="0A5696B7">
            <w:pPr>
              <w:pStyle w:val="119"/>
              <w:spacing w:line="0" w:lineRule="atLeast"/>
              <w:jc w:val="center"/>
              <w:rPr>
                <w:rFonts w:asciiTheme="minorEastAsia" w:hAnsiTheme="minorEastAsia" w:eastAsiaTheme="minorEastAsia"/>
                <w:spacing w:val="-5"/>
                <w:sz w:val="21"/>
                <w:szCs w:val="21"/>
                <w:lang w:eastAsia="zh-CN"/>
              </w:rPr>
            </w:pPr>
            <w:r>
              <w:rPr>
                <w:rFonts w:hint="eastAsia" w:asciiTheme="minorEastAsia" w:hAnsiTheme="minorEastAsia" w:eastAsiaTheme="minorEastAsia"/>
                <w:spacing w:val="-5"/>
                <w:sz w:val="21"/>
                <w:szCs w:val="21"/>
              </w:rPr>
              <w:t>备注</w:t>
            </w:r>
          </w:p>
        </w:tc>
      </w:tr>
      <w:tr w14:paraId="79CBE7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vMerge w:val="continue"/>
            <w:tcBorders>
              <w:top w:val="single" w:color="000000" w:sz="6" w:space="0"/>
              <w:left w:val="single" w:color="000000" w:sz="6" w:space="0"/>
              <w:bottom w:val="single" w:color="000000" w:sz="6" w:space="0"/>
              <w:right w:val="single" w:color="000000" w:sz="6" w:space="0"/>
            </w:tcBorders>
            <w:vAlign w:val="center"/>
          </w:tcPr>
          <w:p w14:paraId="387A97BE">
            <w:pPr>
              <w:spacing w:line="0" w:lineRule="atLeast"/>
              <w:jc w:val="center"/>
              <w:rPr>
                <w:rFonts w:cs="宋体" w:asciiTheme="minorEastAsia" w:hAnsiTheme="minorEastAsia" w:eastAsiaTheme="minorEastAsia"/>
                <w:szCs w:val="21"/>
              </w:rPr>
            </w:pPr>
          </w:p>
        </w:tc>
        <w:tc>
          <w:tcPr>
            <w:tcW w:w="2527" w:type="dxa"/>
            <w:tcBorders>
              <w:top w:val="single" w:color="000000" w:sz="6" w:space="0"/>
              <w:left w:val="single" w:color="000000" w:sz="6" w:space="0"/>
              <w:bottom w:val="single" w:color="000000" w:sz="6" w:space="0"/>
              <w:right w:val="single" w:color="000000" w:sz="6" w:space="0"/>
            </w:tcBorders>
            <w:vAlign w:val="center"/>
          </w:tcPr>
          <w:p w14:paraId="702437E9">
            <w:pPr>
              <w:pStyle w:val="119"/>
              <w:spacing w:line="276" w:lineRule="auto"/>
              <w:ind w:left="76" w:leftChars="3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X</w:t>
            </w:r>
          </w:p>
        </w:tc>
        <w:tc>
          <w:tcPr>
            <w:tcW w:w="3046" w:type="dxa"/>
            <w:tcBorders>
              <w:top w:val="single" w:color="000000" w:sz="6" w:space="0"/>
              <w:left w:val="single" w:color="000000" w:sz="6" w:space="0"/>
              <w:bottom w:val="single" w:color="000000" w:sz="6" w:space="0"/>
              <w:right w:val="single" w:color="000000" w:sz="6" w:space="0"/>
            </w:tcBorders>
            <w:vAlign w:val="center"/>
          </w:tcPr>
          <w:p w14:paraId="66EEED15">
            <w:pPr>
              <w:pStyle w:val="119"/>
              <w:spacing w:line="276" w:lineRule="auto"/>
              <w:ind w:left="76" w:leftChars="3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Y</w:t>
            </w:r>
          </w:p>
        </w:tc>
        <w:tc>
          <w:tcPr>
            <w:tcW w:w="1254" w:type="dxa"/>
            <w:vMerge w:val="continue"/>
            <w:tcBorders>
              <w:left w:val="single" w:color="000000" w:sz="6" w:space="0"/>
              <w:bottom w:val="single" w:color="000000" w:sz="6" w:space="0"/>
              <w:right w:val="single" w:color="000000" w:sz="6" w:space="0"/>
            </w:tcBorders>
            <w:vAlign w:val="center"/>
          </w:tcPr>
          <w:p w14:paraId="3B0407ED">
            <w:pPr>
              <w:pStyle w:val="119"/>
              <w:spacing w:line="0" w:lineRule="atLeast"/>
              <w:ind w:left="76" w:leftChars="36"/>
              <w:jc w:val="center"/>
              <w:rPr>
                <w:rFonts w:asciiTheme="minorEastAsia" w:hAnsiTheme="minorEastAsia" w:eastAsiaTheme="minorEastAsia"/>
                <w:sz w:val="21"/>
                <w:szCs w:val="21"/>
              </w:rPr>
            </w:pPr>
          </w:p>
        </w:tc>
      </w:tr>
      <w:tr w14:paraId="5D166D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0709F9F1">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w:t>
            </w:r>
          </w:p>
        </w:tc>
        <w:tc>
          <w:tcPr>
            <w:tcW w:w="2527" w:type="dxa"/>
            <w:tcBorders>
              <w:top w:val="single" w:color="000000" w:sz="6" w:space="0"/>
              <w:left w:val="single" w:color="000000" w:sz="6" w:space="0"/>
              <w:bottom w:val="single" w:color="000000" w:sz="6" w:space="0"/>
              <w:right w:val="single" w:color="000000" w:sz="6" w:space="0"/>
            </w:tcBorders>
            <w:vAlign w:val="center"/>
          </w:tcPr>
          <w:p w14:paraId="64AB28AA">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074205DE">
            <w:pPr>
              <w:jc w:val="center"/>
              <w:rPr>
                <w:rFonts w:cs="宋体" w:asciiTheme="minorEastAsia" w:hAnsiTheme="minorEastAsia" w:eastAsiaTheme="minorEastAsia"/>
                <w:color w:val="000000"/>
                <w:szCs w:val="21"/>
              </w:rPr>
            </w:pPr>
          </w:p>
        </w:tc>
        <w:tc>
          <w:tcPr>
            <w:tcW w:w="1254" w:type="dxa"/>
            <w:vMerge w:val="restart"/>
            <w:tcBorders>
              <w:top w:val="single" w:color="000000" w:sz="6" w:space="0"/>
              <w:left w:val="single" w:color="000000" w:sz="6" w:space="0"/>
              <w:right w:val="single" w:color="000000" w:sz="6" w:space="0"/>
            </w:tcBorders>
            <w:vAlign w:val="center"/>
          </w:tcPr>
          <w:p w14:paraId="0D50BDC0">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剥离面积</w:t>
            </w:r>
          </w:p>
          <w:p w14:paraId="58C4F519">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0.19km</w:t>
            </w:r>
            <w:r>
              <w:rPr>
                <w:rFonts w:hint="eastAsia" w:cs="仿宋" w:asciiTheme="minorEastAsia" w:hAnsiTheme="minorEastAsia" w:eastAsiaTheme="minorEastAsia"/>
                <w:color w:val="000000"/>
                <w:kern w:val="0"/>
                <w:szCs w:val="21"/>
                <w:vertAlign w:val="superscript"/>
              </w:rPr>
              <w:t>2</w:t>
            </w:r>
          </w:p>
        </w:tc>
      </w:tr>
      <w:tr w14:paraId="45C079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449D3DB3">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szCs w:val="21"/>
              </w:rPr>
              <w:t>2</w:t>
            </w:r>
          </w:p>
        </w:tc>
        <w:tc>
          <w:tcPr>
            <w:tcW w:w="2527" w:type="dxa"/>
            <w:tcBorders>
              <w:top w:val="single" w:color="000000" w:sz="6" w:space="0"/>
              <w:left w:val="single" w:color="000000" w:sz="6" w:space="0"/>
              <w:bottom w:val="single" w:color="000000" w:sz="6" w:space="0"/>
              <w:right w:val="single" w:color="000000" w:sz="6" w:space="0"/>
            </w:tcBorders>
            <w:vAlign w:val="center"/>
          </w:tcPr>
          <w:p w14:paraId="51DB680E">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0219880D">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5EF9949D">
            <w:pPr>
              <w:widowControl/>
              <w:spacing w:line="0" w:lineRule="atLeast"/>
              <w:jc w:val="center"/>
              <w:textAlignment w:val="bottom"/>
              <w:rPr>
                <w:rFonts w:cs="仿宋" w:asciiTheme="minorEastAsia" w:hAnsiTheme="minorEastAsia" w:eastAsiaTheme="minorEastAsia"/>
                <w:color w:val="000000"/>
                <w:kern w:val="0"/>
                <w:szCs w:val="21"/>
              </w:rPr>
            </w:pPr>
          </w:p>
        </w:tc>
      </w:tr>
      <w:tr w14:paraId="60B2B8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7E46365C">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szCs w:val="21"/>
              </w:rPr>
              <w:t>3</w:t>
            </w:r>
          </w:p>
        </w:tc>
        <w:tc>
          <w:tcPr>
            <w:tcW w:w="2527" w:type="dxa"/>
            <w:tcBorders>
              <w:top w:val="single" w:color="000000" w:sz="6" w:space="0"/>
              <w:left w:val="single" w:color="000000" w:sz="6" w:space="0"/>
              <w:bottom w:val="single" w:color="000000" w:sz="6" w:space="0"/>
              <w:right w:val="single" w:color="000000" w:sz="6" w:space="0"/>
            </w:tcBorders>
            <w:vAlign w:val="center"/>
          </w:tcPr>
          <w:p w14:paraId="19A11C8B">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0BECE0E3">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19FA3E6D">
            <w:pPr>
              <w:widowControl/>
              <w:spacing w:line="0" w:lineRule="atLeast"/>
              <w:jc w:val="center"/>
              <w:textAlignment w:val="bottom"/>
              <w:rPr>
                <w:rFonts w:cs="仿宋" w:asciiTheme="minorEastAsia" w:hAnsiTheme="minorEastAsia" w:eastAsiaTheme="minorEastAsia"/>
                <w:color w:val="000000"/>
                <w:kern w:val="0"/>
                <w:szCs w:val="21"/>
              </w:rPr>
            </w:pPr>
          </w:p>
        </w:tc>
      </w:tr>
      <w:tr w14:paraId="1BCA5E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685E1DC2">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4</w:t>
            </w:r>
          </w:p>
        </w:tc>
        <w:tc>
          <w:tcPr>
            <w:tcW w:w="2527" w:type="dxa"/>
            <w:tcBorders>
              <w:top w:val="single" w:color="000000" w:sz="6" w:space="0"/>
              <w:left w:val="single" w:color="000000" w:sz="6" w:space="0"/>
              <w:bottom w:val="single" w:color="000000" w:sz="6" w:space="0"/>
              <w:right w:val="single" w:color="000000" w:sz="6" w:space="0"/>
            </w:tcBorders>
            <w:vAlign w:val="center"/>
          </w:tcPr>
          <w:p w14:paraId="3B713808">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17705804">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344540BC">
            <w:pPr>
              <w:widowControl/>
              <w:spacing w:line="0" w:lineRule="atLeast"/>
              <w:jc w:val="center"/>
              <w:textAlignment w:val="bottom"/>
              <w:rPr>
                <w:rFonts w:cs="仿宋" w:asciiTheme="minorEastAsia" w:hAnsiTheme="minorEastAsia" w:eastAsiaTheme="minorEastAsia"/>
                <w:color w:val="000000"/>
                <w:kern w:val="0"/>
                <w:szCs w:val="21"/>
              </w:rPr>
            </w:pPr>
          </w:p>
        </w:tc>
      </w:tr>
      <w:tr w14:paraId="6BA4C2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18F0B360">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5</w:t>
            </w:r>
          </w:p>
        </w:tc>
        <w:tc>
          <w:tcPr>
            <w:tcW w:w="2527" w:type="dxa"/>
            <w:tcBorders>
              <w:top w:val="single" w:color="000000" w:sz="6" w:space="0"/>
              <w:left w:val="single" w:color="000000" w:sz="6" w:space="0"/>
              <w:bottom w:val="single" w:color="000000" w:sz="6" w:space="0"/>
              <w:right w:val="single" w:color="000000" w:sz="6" w:space="0"/>
            </w:tcBorders>
            <w:vAlign w:val="center"/>
          </w:tcPr>
          <w:p w14:paraId="291478CD">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2ADE2B1C">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55496A4D">
            <w:pPr>
              <w:widowControl/>
              <w:spacing w:line="0" w:lineRule="atLeast"/>
              <w:jc w:val="center"/>
              <w:textAlignment w:val="bottom"/>
              <w:rPr>
                <w:rFonts w:cs="仿宋" w:asciiTheme="minorEastAsia" w:hAnsiTheme="minorEastAsia" w:eastAsiaTheme="minorEastAsia"/>
                <w:color w:val="000000"/>
                <w:kern w:val="0"/>
                <w:szCs w:val="21"/>
              </w:rPr>
            </w:pPr>
          </w:p>
        </w:tc>
      </w:tr>
      <w:tr w14:paraId="46BE37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4326FF43">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6</w:t>
            </w:r>
          </w:p>
        </w:tc>
        <w:tc>
          <w:tcPr>
            <w:tcW w:w="2527" w:type="dxa"/>
            <w:tcBorders>
              <w:top w:val="single" w:color="000000" w:sz="6" w:space="0"/>
              <w:left w:val="single" w:color="000000" w:sz="6" w:space="0"/>
              <w:bottom w:val="single" w:color="000000" w:sz="6" w:space="0"/>
              <w:right w:val="single" w:color="000000" w:sz="6" w:space="0"/>
            </w:tcBorders>
            <w:vAlign w:val="center"/>
          </w:tcPr>
          <w:p w14:paraId="0D25ABD2">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45622342">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7C5F7B5C">
            <w:pPr>
              <w:widowControl/>
              <w:spacing w:line="0" w:lineRule="atLeast"/>
              <w:jc w:val="center"/>
              <w:textAlignment w:val="bottom"/>
              <w:rPr>
                <w:rFonts w:cs="仿宋" w:asciiTheme="minorEastAsia" w:hAnsiTheme="minorEastAsia" w:eastAsiaTheme="minorEastAsia"/>
                <w:color w:val="000000"/>
                <w:kern w:val="0"/>
                <w:szCs w:val="21"/>
              </w:rPr>
            </w:pPr>
          </w:p>
        </w:tc>
      </w:tr>
      <w:tr w14:paraId="480CB7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328D9C37">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7</w:t>
            </w:r>
          </w:p>
        </w:tc>
        <w:tc>
          <w:tcPr>
            <w:tcW w:w="2527" w:type="dxa"/>
            <w:tcBorders>
              <w:top w:val="single" w:color="000000" w:sz="6" w:space="0"/>
              <w:left w:val="single" w:color="000000" w:sz="6" w:space="0"/>
              <w:bottom w:val="single" w:color="000000" w:sz="6" w:space="0"/>
              <w:right w:val="single" w:color="000000" w:sz="6" w:space="0"/>
            </w:tcBorders>
            <w:vAlign w:val="center"/>
          </w:tcPr>
          <w:p w14:paraId="65E1469E">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63971A5D">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3ECC3F09">
            <w:pPr>
              <w:widowControl/>
              <w:spacing w:line="0" w:lineRule="atLeast"/>
              <w:jc w:val="center"/>
              <w:textAlignment w:val="bottom"/>
              <w:rPr>
                <w:rFonts w:cs="仿宋" w:asciiTheme="minorEastAsia" w:hAnsiTheme="minorEastAsia" w:eastAsiaTheme="minorEastAsia"/>
                <w:color w:val="000000"/>
                <w:kern w:val="0"/>
                <w:szCs w:val="21"/>
              </w:rPr>
            </w:pPr>
          </w:p>
        </w:tc>
      </w:tr>
      <w:tr w14:paraId="1E6051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795FABB4">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8</w:t>
            </w:r>
          </w:p>
        </w:tc>
        <w:tc>
          <w:tcPr>
            <w:tcW w:w="2527" w:type="dxa"/>
            <w:tcBorders>
              <w:top w:val="single" w:color="000000" w:sz="6" w:space="0"/>
              <w:left w:val="single" w:color="000000" w:sz="6" w:space="0"/>
              <w:bottom w:val="single" w:color="000000" w:sz="6" w:space="0"/>
              <w:right w:val="single" w:color="000000" w:sz="6" w:space="0"/>
            </w:tcBorders>
            <w:vAlign w:val="center"/>
          </w:tcPr>
          <w:p w14:paraId="6C2F2D3E">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28D2DBAB">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489B5F21">
            <w:pPr>
              <w:widowControl/>
              <w:spacing w:line="0" w:lineRule="atLeast"/>
              <w:jc w:val="center"/>
              <w:textAlignment w:val="bottom"/>
              <w:rPr>
                <w:rFonts w:cs="仿宋" w:asciiTheme="minorEastAsia" w:hAnsiTheme="minorEastAsia" w:eastAsiaTheme="minorEastAsia"/>
                <w:color w:val="000000"/>
                <w:kern w:val="0"/>
                <w:szCs w:val="21"/>
              </w:rPr>
            </w:pPr>
          </w:p>
        </w:tc>
      </w:tr>
      <w:tr w14:paraId="52C488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625FEFF9">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9</w:t>
            </w:r>
          </w:p>
        </w:tc>
        <w:tc>
          <w:tcPr>
            <w:tcW w:w="2527" w:type="dxa"/>
            <w:tcBorders>
              <w:top w:val="single" w:color="000000" w:sz="6" w:space="0"/>
              <w:left w:val="single" w:color="000000" w:sz="6" w:space="0"/>
              <w:bottom w:val="single" w:color="000000" w:sz="6" w:space="0"/>
              <w:right w:val="single" w:color="000000" w:sz="6" w:space="0"/>
            </w:tcBorders>
            <w:vAlign w:val="center"/>
          </w:tcPr>
          <w:p w14:paraId="3EE71B8F">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57A0485F">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33687D71">
            <w:pPr>
              <w:widowControl/>
              <w:spacing w:line="0" w:lineRule="atLeast"/>
              <w:jc w:val="center"/>
              <w:textAlignment w:val="bottom"/>
              <w:rPr>
                <w:rFonts w:cs="仿宋" w:asciiTheme="minorEastAsia" w:hAnsiTheme="minorEastAsia" w:eastAsiaTheme="minorEastAsia"/>
                <w:color w:val="000000"/>
                <w:kern w:val="0"/>
                <w:szCs w:val="21"/>
              </w:rPr>
            </w:pPr>
          </w:p>
        </w:tc>
      </w:tr>
      <w:tr w14:paraId="46CA77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00AD5AEF">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10</w:t>
            </w:r>
          </w:p>
        </w:tc>
        <w:tc>
          <w:tcPr>
            <w:tcW w:w="2527" w:type="dxa"/>
            <w:tcBorders>
              <w:top w:val="single" w:color="000000" w:sz="6" w:space="0"/>
              <w:left w:val="single" w:color="000000" w:sz="6" w:space="0"/>
              <w:bottom w:val="single" w:color="000000" w:sz="6" w:space="0"/>
              <w:right w:val="single" w:color="000000" w:sz="6" w:space="0"/>
            </w:tcBorders>
            <w:vAlign w:val="center"/>
          </w:tcPr>
          <w:p w14:paraId="0AC8AC47">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7B047D70">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7128C23D">
            <w:pPr>
              <w:widowControl/>
              <w:spacing w:line="0" w:lineRule="atLeast"/>
              <w:jc w:val="center"/>
              <w:textAlignment w:val="bottom"/>
              <w:rPr>
                <w:rFonts w:cs="仿宋" w:asciiTheme="minorEastAsia" w:hAnsiTheme="minorEastAsia" w:eastAsiaTheme="minorEastAsia"/>
                <w:color w:val="000000"/>
                <w:kern w:val="0"/>
                <w:szCs w:val="21"/>
              </w:rPr>
            </w:pPr>
          </w:p>
        </w:tc>
      </w:tr>
      <w:tr w14:paraId="1DEBAF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4DF9EB43">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11</w:t>
            </w:r>
          </w:p>
        </w:tc>
        <w:tc>
          <w:tcPr>
            <w:tcW w:w="2527" w:type="dxa"/>
            <w:tcBorders>
              <w:top w:val="single" w:color="000000" w:sz="6" w:space="0"/>
              <w:left w:val="single" w:color="000000" w:sz="6" w:space="0"/>
              <w:bottom w:val="single" w:color="000000" w:sz="6" w:space="0"/>
              <w:right w:val="single" w:color="000000" w:sz="6" w:space="0"/>
            </w:tcBorders>
            <w:vAlign w:val="center"/>
          </w:tcPr>
          <w:p w14:paraId="0B22B4A3">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133F5536">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68E35C7A">
            <w:pPr>
              <w:widowControl/>
              <w:spacing w:line="0" w:lineRule="atLeast"/>
              <w:jc w:val="center"/>
              <w:textAlignment w:val="bottom"/>
              <w:rPr>
                <w:rFonts w:cs="仿宋" w:asciiTheme="minorEastAsia" w:hAnsiTheme="minorEastAsia" w:eastAsiaTheme="minorEastAsia"/>
                <w:color w:val="000000"/>
                <w:kern w:val="0"/>
                <w:szCs w:val="21"/>
              </w:rPr>
            </w:pPr>
          </w:p>
        </w:tc>
      </w:tr>
      <w:tr w14:paraId="4A5BFC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259F25D9">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12</w:t>
            </w:r>
          </w:p>
        </w:tc>
        <w:tc>
          <w:tcPr>
            <w:tcW w:w="2527" w:type="dxa"/>
            <w:tcBorders>
              <w:top w:val="single" w:color="000000" w:sz="6" w:space="0"/>
              <w:left w:val="single" w:color="000000" w:sz="6" w:space="0"/>
              <w:bottom w:val="single" w:color="000000" w:sz="6" w:space="0"/>
              <w:right w:val="single" w:color="000000" w:sz="6" w:space="0"/>
            </w:tcBorders>
            <w:vAlign w:val="center"/>
          </w:tcPr>
          <w:p w14:paraId="79213ED7">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37CC0760">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48A9EAE0">
            <w:pPr>
              <w:widowControl/>
              <w:spacing w:line="0" w:lineRule="atLeast"/>
              <w:jc w:val="center"/>
              <w:textAlignment w:val="bottom"/>
              <w:rPr>
                <w:rFonts w:cs="仿宋" w:asciiTheme="minorEastAsia" w:hAnsiTheme="minorEastAsia" w:eastAsiaTheme="minorEastAsia"/>
                <w:color w:val="000000"/>
                <w:kern w:val="0"/>
                <w:szCs w:val="21"/>
              </w:rPr>
            </w:pPr>
          </w:p>
        </w:tc>
      </w:tr>
      <w:tr w14:paraId="44FDF1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217A81BC">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13</w:t>
            </w:r>
          </w:p>
        </w:tc>
        <w:tc>
          <w:tcPr>
            <w:tcW w:w="2527" w:type="dxa"/>
            <w:tcBorders>
              <w:top w:val="single" w:color="000000" w:sz="6" w:space="0"/>
              <w:left w:val="single" w:color="000000" w:sz="6" w:space="0"/>
              <w:bottom w:val="single" w:color="000000" w:sz="6" w:space="0"/>
              <w:right w:val="single" w:color="000000" w:sz="6" w:space="0"/>
            </w:tcBorders>
            <w:vAlign w:val="center"/>
          </w:tcPr>
          <w:p w14:paraId="69376448">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609D385E">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3C5ED46B">
            <w:pPr>
              <w:widowControl/>
              <w:spacing w:line="0" w:lineRule="atLeast"/>
              <w:jc w:val="center"/>
              <w:textAlignment w:val="bottom"/>
              <w:rPr>
                <w:rFonts w:cs="仿宋" w:asciiTheme="minorEastAsia" w:hAnsiTheme="minorEastAsia" w:eastAsiaTheme="minorEastAsia"/>
                <w:color w:val="000000"/>
                <w:kern w:val="0"/>
                <w:szCs w:val="21"/>
              </w:rPr>
            </w:pPr>
          </w:p>
        </w:tc>
      </w:tr>
      <w:tr w14:paraId="59BBC2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4259CBEB">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14</w:t>
            </w:r>
          </w:p>
        </w:tc>
        <w:tc>
          <w:tcPr>
            <w:tcW w:w="2527" w:type="dxa"/>
            <w:tcBorders>
              <w:top w:val="single" w:color="000000" w:sz="6" w:space="0"/>
              <w:left w:val="single" w:color="000000" w:sz="6" w:space="0"/>
              <w:bottom w:val="single" w:color="000000" w:sz="6" w:space="0"/>
              <w:right w:val="single" w:color="000000" w:sz="6" w:space="0"/>
            </w:tcBorders>
            <w:vAlign w:val="center"/>
          </w:tcPr>
          <w:p w14:paraId="5BA233B9">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2451183B">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6A2CF4B6">
            <w:pPr>
              <w:widowControl/>
              <w:spacing w:line="0" w:lineRule="atLeast"/>
              <w:jc w:val="center"/>
              <w:textAlignment w:val="bottom"/>
              <w:rPr>
                <w:rFonts w:cs="仿宋" w:asciiTheme="minorEastAsia" w:hAnsiTheme="minorEastAsia" w:eastAsiaTheme="minorEastAsia"/>
                <w:color w:val="000000"/>
                <w:kern w:val="0"/>
                <w:szCs w:val="21"/>
              </w:rPr>
            </w:pPr>
          </w:p>
        </w:tc>
      </w:tr>
      <w:tr w14:paraId="744FD6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4BC86BBE">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15</w:t>
            </w:r>
          </w:p>
        </w:tc>
        <w:tc>
          <w:tcPr>
            <w:tcW w:w="2527" w:type="dxa"/>
            <w:tcBorders>
              <w:top w:val="single" w:color="000000" w:sz="6" w:space="0"/>
              <w:left w:val="single" w:color="000000" w:sz="6" w:space="0"/>
              <w:bottom w:val="single" w:color="000000" w:sz="6" w:space="0"/>
              <w:right w:val="single" w:color="000000" w:sz="6" w:space="0"/>
            </w:tcBorders>
            <w:vAlign w:val="center"/>
          </w:tcPr>
          <w:p w14:paraId="6288B731">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37EE51BB">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3D90194B">
            <w:pPr>
              <w:widowControl/>
              <w:spacing w:line="0" w:lineRule="atLeast"/>
              <w:jc w:val="center"/>
              <w:textAlignment w:val="bottom"/>
              <w:rPr>
                <w:rFonts w:cs="仿宋" w:asciiTheme="minorEastAsia" w:hAnsiTheme="minorEastAsia" w:eastAsiaTheme="minorEastAsia"/>
                <w:color w:val="000000"/>
                <w:kern w:val="0"/>
                <w:szCs w:val="21"/>
              </w:rPr>
            </w:pPr>
          </w:p>
        </w:tc>
      </w:tr>
      <w:tr w14:paraId="79D384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020DE7CE">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16</w:t>
            </w:r>
          </w:p>
        </w:tc>
        <w:tc>
          <w:tcPr>
            <w:tcW w:w="2527" w:type="dxa"/>
            <w:tcBorders>
              <w:top w:val="single" w:color="000000" w:sz="6" w:space="0"/>
              <w:left w:val="single" w:color="000000" w:sz="6" w:space="0"/>
              <w:bottom w:val="single" w:color="000000" w:sz="6" w:space="0"/>
              <w:right w:val="single" w:color="000000" w:sz="6" w:space="0"/>
            </w:tcBorders>
            <w:vAlign w:val="center"/>
          </w:tcPr>
          <w:p w14:paraId="35E60734">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7637093D">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21693545">
            <w:pPr>
              <w:widowControl/>
              <w:spacing w:line="0" w:lineRule="atLeast"/>
              <w:jc w:val="center"/>
              <w:textAlignment w:val="bottom"/>
              <w:rPr>
                <w:rFonts w:cs="仿宋" w:asciiTheme="minorEastAsia" w:hAnsiTheme="minorEastAsia" w:eastAsiaTheme="minorEastAsia"/>
                <w:color w:val="000000"/>
                <w:kern w:val="0"/>
                <w:szCs w:val="21"/>
              </w:rPr>
            </w:pPr>
          </w:p>
        </w:tc>
      </w:tr>
      <w:tr w14:paraId="72D6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48F482F2">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17</w:t>
            </w:r>
          </w:p>
        </w:tc>
        <w:tc>
          <w:tcPr>
            <w:tcW w:w="2527" w:type="dxa"/>
            <w:tcBorders>
              <w:top w:val="single" w:color="000000" w:sz="6" w:space="0"/>
              <w:left w:val="single" w:color="000000" w:sz="6" w:space="0"/>
              <w:bottom w:val="single" w:color="000000" w:sz="6" w:space="0"/>
              <w:right w:val="single" w:color="000000" w:sz="6" w:space="0"/>
            </w:tcBorders>
            <w:vAlign w:val="center"/>
          </w:tcPr>
          <w:p w14:paraId="63A84255">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26C56EE7">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1E9197B8">
            <w:pPr>
              <w:widowControl/>
              <w:spacing w:line="0" w:lineRule="atLeast"/>
              <w:jc w:val="center"/>
              <w:textAlignment w:val="bottom"/>
              <w:rPr>
                <w:rFonts w:cs="仿宋" w:asciiTheme="minorEastAsia" w:hAnsiTheme="minorEastAsia" w:eastAsiaTheme="minorEastAsia"/>
                <w:color w:val="000000"/>
                <w:kern w:val="0"/>
                <w:szCs w:val="21"/>
              </w:rPr>
            </w:pPr>
          </w:p>
        </w:tc>
      </w:tr>
      <w:tr w14:paraId="43EF5C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18B22218">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18</w:t>
            </w:r>
          </w:p>
        </w:tc>
        <w:tc>
          <w:tcPr>
            <w:tcW w:w="2527" w:type="dxa"/>
            <w:tcBorders>
              <w:top w:val="single" w:color="000000" w:sz="6" w:space="0"/>
              <w:left w:val="single" w:color="000000" w:sz="6" w:space="0"/>
              <w:bottom w:val="single" w:color="000000" w:sz="6" w:space="0"/>
              <w:right w:val="single" w:color="000000" w:sz="6" w:space="0"/>
            </w:tcBorders>
            <w:vAlign w:val="center"/>
          </w:tcPr>
          <w:p w14:paraId="36E16F99">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5F869818">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5B8E809D">
            <w:pPr>
              <w:widowControl/>
              <w:spacing w:line="0" w:lineRule="atLeast"/>
              <w:jc w:val="center"/>
              <w:textAlignment w:val="bottom"/>
              <w:rPr>
                <w:rFonts w:cs="仿宋" w:asciiTheme="minorEastAsia" w:hAnsiTheme="minorEastAsia" w:eastAsiaTheme="minorEastAsia"/>
                <w:color w:val="000000"/>
                <w:kern w:val="0"/>
                <w:szCs w:val="21"/>
              </w:rPr>
            </w:pPr>
          </w:p>
        </w:tc>
      </w:tr>
      <w:tr w14:paraId="0CCD25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1F987D4C">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19</w:t>
            </w:r>
          </w:p>
        </w:tc>
        <w:tc>
          <w:tcPr>
            <w:tcW w:w="2527" w:type="dxa"/>
            <w:tcBorders>
              <w:top w:val="single" w:color="000000" w:sz="6" w:space="0"/>
              <w:left w:val="single" w:color="000000" w:sz="6" w:space="0"/>
              <w:bottom w:val="single" w:color="000000" w:sz="6" w:space="0"/>
              <w:right w:val="single" w:color="000000" w:sz="6" w:space="0"/>
            </w:tcBorders>
            <w:vAlign w:val="center"/>
          </w:tcPr>
          <w:p w14:paraId="17A82874">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2F288CEE">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1F3023E3">
            <w:pPr>
              <w:widowControl/>
              <w:spacing w:line="0" w:lineRule="atLeast"/>
              <w:jc w:val="center"/>
              <w:textAlignment w:val="bottom"/>
              <w:rPr>
                <w:rFonts w:cs="仿宋" w:asciiTheme="minorEastAsia" w:hAnsiTheme="minorEastAsia" w:eastAsiaTheme="minorEastAsia"/>
                <w:color w:val="000000"/>
                <w:kern w:val="0"/>
                <w:szCs w:val="21"/>
              </w:rPr>
            </w:pPr>
          </w:p>
        </w:tc>
      </w:tr>
      <w:tr w14:paraId="5D7B21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795" w:type="dxa"/>
            <w:tcBorders>
              <w:top w:val="single" w:color="000000" w:sz="6" w:space="0"/>
              <w:left w:val="single" w:color="000000" w:sz="6" w:space="0"/>
              <w:bottom w:val="single" w:color="000000" w:sz="6" w:space="0"/>
              <w:right w:val="single" w:color="000000" w:sz="6" w:space="0"/>
            </w:tcBorders>
            <w:vAlign w:val="center"/>
          </w:tcPr>
          <w:p w14:paraId="486D33EE">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20</w:t>
            </w:r>
          </w:p>
        </w:tc>
        <w:tc>
          <w:tcPr>
            <w:tcW w:w="2527" w:type="dxa"/>
            <w:tcBorders>
              <w:top w:val="single" w:color="000000" w:sz="6" w:space="0"/>
              <w:left w:val="single" w:color="000000" w:sz="6" w:space="0"/>
              <w:bottom w:val="single" w:color="000000" w:sz="6" w:space="0"/>
              <w:right w:val="single" w:color="000000" w:sz="6" w:space="0"/>
            </w:tcBorders>
            <w:vAlign w:val="center"/>
          </w:tcPr>
          <w:p w14:paraId="4F2A86B8">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2A01DBC1">
            <w:pPr>
              <w:jc w:val="center"/>
              <w:rPr>
                <w:rFonts w:cs="宋体" w:asciiTheme="minorEastAsia" w:hAnsiTheme="minorEastAsia" w:eastAsiaTheme="minorEastAsia"/>
                <w:color w:val="000000"/>
                <w:szCs w:val="21"/>
              </w:rPr>
            </w:pPr>
          </w:p>
        </w:tc>
        <w:tc>
          <w:tcPr>
            <w:tcW w:w="1254" w:type="dxa"/>
            <w:vMerge w:val="continue"/>
            <w:tcBorders>
              <w:left w:val="single" w:color="000000" w:sz="6" w:space="0"/>
              <w:right w:val="single" w:color="000000" w:sz="6" w:space="0"/>
            </w:tcBorders>
            <w:vAlign w:val="center"/>
          </w:tcPr>
          <w:p w14:paraId="5F24B0DF">
            <w:pPr>
              <w:widowControl/>
              <w:spacing w:line="0" w:lineRule="atLeast"/>
              <w:jc w:val="center"/>
              <w:textAlignment w:val="bottom"/>
              <w:rPr>
                <w:rFonts w:cs="仿宋" w:asciiTheme="minorEastAsia" w:hAnsiTheme="minorEastAsia" w:eastAsiaTheme="minorEastAsia"/>
                <w:color w:val="000000"/>
                <w:kern w:val="0"/>
                <w:szCs w:val="21"/>
              </w:rPr>
            </w:pPr>
          </w:p>
        </w:tc>
      </w:tr>
    </w:tbl>
    <w:p w14:paraId="5F32C965">
      <w:pPr>
        <w:pStyle w:val="5"/>
        <w:spacing w:beforeLines="50" w:afterLines="50" w:line="360" w:lineRule="auto"/>
        <w:ind w:firstLine="550" w:firstLineChars="200"/>
        <w:rPr>
          <w:rFonts w:ascii="宋体" w:hAnsi="宋体" w:cs="宋体"/>
          <w:sz w:val="28"/>
          <w:szCs w:val="28"/>
        </w:rPr>
      </w:pPr>
      <w:r>
        <w:rPr>
          <w:rFonts w:ascii="宋体" w:hAnsi="宋体" w:cs="宋体"/>
          <w:spacing w:val="-3"/>
          <w:sz w:val="28"/>
          <w:szCs w:val="28"/>
        </w:rPr>
        <w:t>2、露天剥离范围科学合理性论证</w:t>
      </w:r>
    </w:p>
    <w:p w14:paraId="610492A4">
      <w:pPr>
        <w:spacing w:line="360" w:lineRule="auto"/>
        <w:ind w:firstLine="568" w:firstLineChars="200"/>
        <w:rPr>
          <w:rFonts w:ascii="宋体" w:hAnsi="宋体" w:cs="宋体"/>
          <w:spacing w:val="2"/>
          <w:sz w:val="28"/>
          <w:szCs w:val="28"/>
        </w:rPr>
      </w:pPr>
      <w:r>
        <w:rPr>
          <w:rFonts w:hint="eastAsia" w:ascii="宋体" w:hAnsi="宋体" w:cs="宋体"/>
          <w:spacing w:val="2"/>
          <w:sz w:val="28"/>
          <w:szCs w:val="28"/>
        </w:rPr>
        <w:t>根据《</w:t>
      </w:r>
      <w:r>
        <w:rPr>
          <w:rFonts w:hint="eastAsia" w:ascii="宋体" w:hAnsi="宋体" w:cs="宋体"/>
          <w:sz w:val="28"/>
          <w:szCs w:val="28"/>
        </w:rPr>
        <w:t>辽宁省铁岭县李千户镇金家沟村建筑用白云岩矿详查</w:t>
      </w:r>
      <w:r>
        <w:rPr>
          <w:rFonts w:ascii="宋体" w:hAnsi="宋体" w:cs="宋体"/>
          <w:sz w:val="28"/>
          <w:szCs w:val="28"/>
        </w:rPr>
        <w:t>报告》及评审备案文件</w:t>
      </w:r>
      <w:r>
        <w:rPr>
          <w:rFonts w:hint="eastAsia" w:ascii="宋体" w:hAnsi="宋体" w:cs="宋体"/>
          <w:spacing w:val="2"/>
          <w:sz w:val="28"/>
          <w:szCs w:val="28"/>
        </w:rPr>
        <w:t>，资源量估算范围总面积0.2km</w:t>
      </w:r>
      <w:r>
        <w:rPr>
          <w:rFonts w:hint="eastAsia" w:ascii="宋体" w:hAnsi="宋体" w:cs="宋体"/>
          <w:spacing w:val="2"/>
          <w:sz w:val="28"/>
          <w:szCs w:val="28"/>
          <w:vertAlign w:val="superscript"/>
        </w:rPr>
        <w:t>2</w:t>
      </w:r>
      <w:r>
        <w:rPr>
          <w:rFonts w:hint="eastAsia" w:ascii="宋体" w:hAnsi="宋体" w:cs="宋体"/>
          <w:spacing w:val="2"/>
          <w:sz w:val="28"/>
          <w:szCs w:val="28"/>
        </w:rPr>
        <w:t>，估算标高自+250m至+170m。</w:t>
      </w:r>
    </w:p>
    <w:p w14:paraId="6020AAC1">
      <w:pPr>
        <w:spacing w:line="360" w:lineRule="auto"/>
        <w:ind w:firstLine="568" w:firstLineChars="200"/>
        <w:rPr>
          <w:rFonts w:ascii="宋体" w:hAnsi="宋体" w:cs="宋体"/>
          <w:spacing w:val="2"/>
          <w:sz w:val="28"/>
          <w:szCs w:val="28"/>
        </w:rPr>
      </w:pPr>
      <w:r>
        <w:rPr>
          <w:rFonts w:hint="eastAsia" w:ascii="宋体" w:hAnsi="宋体" w:cs="宋体"/>
          <w:spacing w:val="2"/>
          <w:sz w:val="28"/>
          <w:szCs w:val="28"/>
        </w:rPr>
        <w:t>本次设计以矿区范围和储量估算范围为基础确定露天剥离范围。露天剥离范围南侧、西侧、东侧以矿区范围为边界，北侧依据设计储量范围、露天采场构成要素及交通条件确定露天剥离范围。</w:t>
      </w:r>
    </w:p>
    <w:p w14:paraId="7AA9E589">
      <w:pPr>
        <w:spacing w:line="360" w:lineRule="auto"/>
        <w:ind w:firstLine="568" w:firstLineChars="200"/>
        <w:rPr>
          <w:rFonts w:ascii="宋体" w:hAnsi="宋体" w:cs="宋体"/>
          <w:spacing w:val="2"/>
          <w:sz w:val="28"/>
          <w:szCs w:val="28"/>
        </w:rPr>
      </w:pPr>
      <w:r>
        <w:rPr>
          <w:rFonts w:hint="eastAsia" w:ascii="宋体" w:hAnsi="宋体" w:cs="宋体"/>
          <w:spacing w:val="2"/>
          <w:sz w:val="28"/>
          <w:szCs w:val="28"/>
        </w:rPr>
        <w:t>露天剥离范围的标高为自+262m至+170m，超过了储量估算顶标高 250m，可以保证最大程度的开发利用，符合一次总体设计要求。露天剥离范围与储量估算范围及矿区范围关系见图3-1</w:t>
      </w:r>
      <w:r>
        <w:rPr>
          <w:rFonts w:hint="eastAsia" w:ascii="宋体" w:hAnsi="宋体" w:cs="宋体"/>
          <w:sz w:val="28"/>
          <w:szCs w:val="28"/>
        </w:rPr>
        <w:t>。</w:t>
      </w:r>
    </w:p>
    <w:p w14:paraId="23BBCF75">
      <w:pPr>
        <w:spacing w:line="360" w:lineRule="auto"/>
        <w:rPr>
          <w:rFonts w:ascii="宋体" w:hAnsi="宋体" w:cs="宋体"/>
          <w:spacing w:val="-1"/>
          <w:sz w:val="28"/>
          <w:szCs w:val="28"/>
        </w:rPr>
      </w:pPr>
      <w:r>
        <w:rPr>
          <w:rFonts w:ascii="宋体" w:hAnsi="宋体" w:cs="宋体"/>
          <w:spacing w:val="-1"/>
          <w:sz w:val="28"/>
          <w:szCs w:val="28"/>
        </w:rPr>
        <mc:AlternateContent>
          <mc:Choice Requires="wps">
            <w:drawing>
              <wp:anchor distT="0" distB="0" distL="114300" distR="114300" simplePos="0" relativeHeight="251662336" behindDoc="0" locked="0" layoutInCell="1" allowOverlap="1">
                <wp:simplePos x="0" y="0"/>
                <wp:positionH relativeFrom="column">
                  <wp:posOffset>1461770</wp:posOffset>
                </wp:positionH>
                <wp:positionV relativeFrom="paragraph">
                  <wp:posOffset>1050925</wp:posOffset>
                </wp:positionV>
                <wp:extent cx="777240" cy="342900"/>
                <wp:effectExtent l="7620" t="274955" r="15240" b="10795"/>
                <wp:wrapNone/>
                <wp:docPr id="24" name="自选图形 166"/>
                <wp:cNvGraphicFramePr/>
                <a:graphic xmlns:a="http://schemas.openxmlformats.org/drawingml/2006/main">
                  <a:graphicData uri="http://schemas.microsoft.com/office/word/2010/wordprocessingShape">
                    <wps:wsp>
                      <wps:cNvSpPr/>
                      <wps:spPr>
                        <a:xfrm>
                          <a:off x="0" y="0"/>
                          <a:ext cx="777240" cy="342900"/>
                        </a:xfrm>
                        <a:prstGeom prst="wedgeRectCallout">
                          <a:avLst>
                            <a:gd name="adj1" fmla="val 7273"/>
                            <a:gd name="adj2" fmla="val -123333"/>
                          </a:avLst>
                        </a:prstGeom>
                        <a:gradFill rotWithShape="0">
                          <a:gsLst>
                            <a:gs pos="0">
                              <a:srgbClr val="FFFFFF"/>
                            </a:gs>
                            <a:gs pos="100000">
                              <a:srgbClr val="FFFFFF"/>
                            </a:gs>
                          </a:gsLst>
                          <a:lin ang="0"/>
                          <a:tileRect/>
                        </a:gradFill>
                        <a:ln w="15875" cap="flat" cmpd="sng">
                          <a:solidFill>
                            <a:srgbClr val="0070C0"/>
                          </a:solidFill>
                          <a:prstDash val="solid"/>
                          <a:miter/>
                          <a:headEnd type="none" w="med" len="med"/>
                          <a:tailEnd type="none" w="med" len="med"/>
                        </a:ln>
                        <a:effectLst/>
                      </wps:spPr>
                      <wps:txbx>
                        <w:txbxContent>
                          <w:p w14:paraId="2FA37697">
                            <w:r>
                              <w:rPr>
                                <w:rFonts w:hint="eastAsia"/>
                              </w:rPr>
                              <w:t>剥离</w:t>
                            </w:r>
                            <w:r>
                              <w:t>范围</w:t>
                            </w:r>
                          </w:p>
                        </w:txbxContent>
                      </wps:txbx>
                      <wps:bodyPr upright="1"/>
                    </wps:wsp>
                  </a:graphicData>
                </a:graphic>
              </wp:anchor>
            </w:drawing>
          </mc:Choice>
          <mc:Fallback>
            <w:pict>
              <v:shape id="自选图形 166" o:spid="_x0000_s1026" o:spt="61" type="#_x0000_t61" style="position:absolute;left:0pt;margin-left:115.1pt;margin-top:82.75pt;height:27pt;width:61.2pt;z-index:251662336;mso-width-relative:page;mso-height-relative:page;" fillcolor="#FFFFFF" filled="t" stroked="t" coordsize="21600,21600" o:gfxdata="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YgD+C2wAAAAsBAAAPAAAAAAAAAAEA&#10;IAAAACIAAABkcnMvZG93bnJldi54bWxQSwECFAAUAAAACACHTuJAdYs/VX4CAAAlBQAADgAAAAAA&#10;AAABACAAAAAqAQAAZHJzL2Uyb0RvYy54bWxQSwUGAAAAAAYABgBZAQAAGgYAAAAA&#10;" adj="12371,-15840">
                <v:fill type="gradient" on="t" color2="#FFFFFF" angle="90" focus="100%" focussize="0,0">
                  <o:fill type="gradientUnscaled" v:ext="backwardCompatible"/>
                </v:fill>
                <v:stroke weight="1.25pt" color="#0070C0" joinstyle="miter"/>
                <v:imagedata o:title=""/>
                <o:lock v:ext="edit" aspectratio="f"/>
                <v:textbox>
                  <w:txbxContent>
                    <w:p w14:paraId="2FA37697">
                      <w:r>
                        <w:rPr>
                          <w:rFonts w:hint="eastAsia"/>
                        </w:rPr>
                        <w:t>剥离</w:t>
                      </w:r>
                      <w:r>
                        <w:t>范围</w:t>
                      </w:r>
                    </w:p>
                  </w:txbxContent>
                </v:textbox>
              </v:shape>
            </w:pict>
          </mc:Fallback>
        </mc:AlternateContent>
      </w:r>
      <w:r>
        <w:rPr>
          <w:rFonts w:ascii="宋体" w:hAnsi="宋体" w:cs="宋体"/>
          <w:spacing w:val="-1"/>
          <w:sz w:val="28"/>
          <w:szCs w:val="28"/>
        </w:rPr>
        <mc:AlternateContent>
          <mc:Choice Requires="wps">
            <w:drawing>
              <wp:anchor distT="0" distB="0" distL="114300" distR="114300" simplePos="0" relativeHeight="251661312" behindDoc="0" locked="0" layoutInCell="1" allowOverlap="1">
                <wp:simplePos x="0" y="0"/>
                <wp:positionH relativeFrom="column">
                  <wp:posOffset>2536190</wp:posOffset>
                </wp:positionH>
                <wp:positionV relativeFrom="paragraph">
                  <wp:posOffset>273685</wp:posOffset>
                </wp:positionV>
                <wp:extent cx="777240" cy="342900"/>
                <wp:effectExtent l="7620" t="7620" r="15240" b="163830"/>
                <wp:wrapNone/>
                <wp:docPr id="23" name="自选图形 165"/>
                <wp:cNvGraphicFramePr/>
                <a:graphic xmlns:a="http://schemas.openxmlformats.org/drawingml/2006/main">
                  <a:graphicData uri="http://schemas.microsoft.com/office/word/2010/wordprocessingShape">
                    <wps:wsp>
                      <wps:cNvSpPr/>
                      <wps:spPr>
                        <a:xfrm>
                          <a:off x="0" y="0"/>
                          <a:ext cx="777240" cy="342900"/>
                        </a:xfrm>
                        <a:prstGeom prst="wedgeRectCallout">
                          <a:avLst>
                            <a:gd name="adj1" fmla="val -38806"/>
                            <a:gd name="adj2" fmla="val 87778"/>
                          </a:avLst>
                        </a:prstGeom>
                        <a:gradFill rotWithShape="0">
                          <a:gsLst>
                            <a:gs pos="0">
                              <a:srgbClr val="FFFFFF"/>
                            </a:gs>
                            <a:gs pos="100000">
                              <a:srgbClr val="FFFFFF"/>
                            </a:gs>
                          </a:gsLst>
                          <a:lin ang="0"/>
                          <a:tileRect/>
                        </a:gradFill>
                        <a:ln w="15875" cap="flat" cmpd="sng">
                          <a:solidFill>
                            <a:srgbClr val="FF0000"/>
                          </a:solidFill>
                          <a:prstDash val="solid"/>
                          <a:miter/>
                          <a:headEnd type="none" w="med" len="med"/>
                          <a:tailEnd type="none" w="med" len="med"/>
                        </a:ln>
                        <a:effectLst/>
                      </wps:spPr>
                      <wps:txbx>
                        <w:txbxContent>
                          <w:p w14:paraId="76B04B8C">
                            <w:r>
                              <w:t>矿区范围</w:t>
                            </w:r>
                          </w:p>
                        </w:txbxContent>
                      </wps:txbx>
                      <wps:bodyPr upright="1"/>
                    </wps:wsp>
                  </a:graphicData>
                </a:graphic>
              </wp:anchor>
            </w:drawing>
          </mc:Choice>
          <mc:Fallback>
            <w:pict>
              <v:shape id="自选图形 165" o:spid="_x0000_s1026" o:spt="61" type="#_x0000_t61" style="position:absolute;left:0pt;margin-left:199.7pt;margin-top:21.55pt;height:27pt;width:61.2pt;z-index:251661312;mso-width-relative:page;mso-height-relative:page;" fillcolor="#FFFFFF" filled="t" stroked="t" coordsize="21600,21600" o:gfxdata="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z164iNgAAAAJAQAADwAAAAAAAAABACAAAAAi&#10;AAAAZHJzL2Rvd25yZXYueG1sUEsBAhQAFAAAAAgAh07iQGNmaIZ8AgAAJQUAAA4AAAAAAAAAAQAg&#10;AAAAJwEAAGRycy9lMm9Eb2MueG1sUEsFBgAAAAAGAAYAWQEAABUGAAAAAA==&#10;" adj="2418,29760">
                <v:fill type="gradient" on="t" color2="#FFFFFF" angle="90" focus="100%" focussize="0,0">
                  <o:fill type="gradientUnscaled" v:ext="backwardCompatible"/>
                </v:fill>
                <v:stroke weight="1.25pt" color="#FF0000" joinstyle="miter"/>
                <v:imagedata o:title=""/>
                <o:lock v:ext="edit" aspectratio="f"/>
                <v:textbox>
                  <w:txbxContent>
                    <w:p w14:paraId="76B04B8C">
                      <w:r>
                        <w:t>矿区范围</w:t>
                      </w:r>
                    </w:p>
                  </w:txbxContent>
                </v:textbox>
              </v:shape>
            </w:pict>
          </mc:Fallback>
        </mc:AlternateContent>
      </w:r>
      <w:r>
        <w:rPr>
          <w:rFonts w:ascii="宋体" w:hAnsi="宋体" w:cs="宋体"/>
          <w:spacing w:val="-1"/>
          <w:sz w:val="28"/>
          <w:szCs w:val="28"/>
        </w:rPr>
        <w:drawing>
          <wp:inline distT="0" distB="0" distL="114300" distR="114300">
            <wp:extent cx="5400675" cy="4171950"/>
            <wp:effectExtent l="0" t="0" r="9525" b="3810"/>
            <wp:docPr id="30" name="图片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 descr="1"/>
                    <pic:cNvPicPr>
                      <a:picLocks noChangeAspect="1"/>
                    </pic:cNvPicPr>
                  </pic:nvPicPr>
                  <pic:blipFill>
                    <a:blip r:embed="rId15" cstate="print"/>
                    <a:srcRect l="2403" t="3316" r="31593" b="4848"/>
                    <a:stretch>
                      <a:fillRect/>
                    </a:stretch>
                  </pic:blipFill>
                  <pic:spPr>
                    <a:xfrm>
                      <a:off x="0" y="0"/>
                      <a:ext cx="5400675" cy="4171950"/>
                    </a:xfrm>
                    <a:prstGeom prst="rect">
                      <a:avLst/>
                    </a:prstGeom>
                    <a:noFill/>
                    <a:ln>
                      <a:noFill/>
                    </a:ln>
                  </pic:spPr>
                </pic:pic>
              </a:graphicData>
            </a:graphic>
          </wp:inline>
        </w:drawing>
      </w:r>
    </w:p>
    <w:p w14:paraId="4134C713">
      <w:pPr>
        <w:spacing w:line="360" w:lineRule="auto"/>
        <w:jc w:val="center"/>
        <w:rPr>
          <w:rFonts w:ascii="宋体" w:hAnsi="宋体" w:cs="宋体"/>
          <w:b/>
          <w:bCs/>
          <w:spacing w:val="-7"/>
          <w:sz w:val="24"/>
        </w:rPr>
      </w:pPr>
      <w:r>
        <w:rPr>
          <w:rFonts w:hint="eastAsia" w:ascii="宋体" w:hAnsi="宋体" w:cs="宋体"/>
          <w:b/>
          <w:bCs/>
          <w:spacing w:val="-7"/>
          <w:sz w:val="24"/>
        </w:rPr>
        <w:t>图3-1  拟设矿区范围、资源量估算范围及开采剥离范围关系图</w:t>
      </w:r>
    </w:p>
    <w:p w14:paraId="1DF59516">
      <w:pPr>
        <w:pStyle w:val="78"/>
        <w:spacing w:line="360" w:lineRule="auto"/>
        <w:ind w:firstLine="602" w:firstLineChars="200"/>
        <w:rPr>
          <w:rFonts w:ascii="宋体"/>
          <w:szCs w:val="30"/>
        </w:rPr>
      </w:pPr>
      <w:bookmarkStart w:id="157" w:name="bookmark16"/>
      <w:bookmarkEnd w:id="157"/>
      <w:bookmarkStart w:id="158" w:name="_Toc20355"/>
      <w:r>
        <w:rPr>
          <w:rFonts w:hint="eastAsia" w:ascii="宋体"/>
          <w:szCs w:val="30"/>
        </w:rPr>
        <w:t>（四）与相关禁限区的重叠情况</w:t>
      </w:r>
      <w:bookmarkEnd w:id="158"/>
    </w:p>
    <w:p w14:paraId="6CC1CF63">
      <w:pPr>
        <w:spacing w:line="360" w:lineRule="auto"/>
        <w:ind w:firstLine="568" w:firstLineChars="200"/>
        <w:rPr>
          <w:rFonts w:cs="宋体" w:asciiTheme="minorEastAsia" w:hAnsiTheme="minorEastAsia" w:eastAsiaTheme="minorEastAsia"/>
          <w:sz w:val="28"/>
          <w:szCs w:val="28"/>
        </w:rPr>
      </w:pPr>
      <w:r>
        <w:rPr>
          <w:rFonts w:cs="宋体" w:asciiTheme="minorEastAsia" w:hAnsiTheme="minorEastAsia" w:eastAsiaTheme="minorEastAsia"/>
          <w:spacing w:val="2"/>
          <w:sz w:val="28"/>
          <w:szCs w:val="28"/>
        </w:rPr>
        <w:t>申请</w:t>
      </w:r>
      <w:r>
        <w:rPr>
          <w:rFonts w:hint="eastAsia" w:cs="宋体" w:asciiTheme="minorEastAsia" w:hAnsiTheme="minorEastAsia" w:eastAsiaTheme="minorEastAsia"/>
          <w:spacing w:val="1"/>
          <w:sz w:val="28"/>
          <w:szCs w:val="28"/>
        </w:rPr>
        <w:t>矿区</w:t>
      </w:r>
      <w:r>
        <w:rPr>
          <w:rFonts w:cs="宋体" w:asciiTheme="minorEastAsia" w:hAnsiTheme="minorEastAsia" w:eastAsiaTheme="minorEastAsia"/>
          <w:spacing w:val="1"/>
          <w:sz w:val="28"/>
          <w:szCs w:val="28"/>
        </w:rPr>
        <w:t>为</w:t>
      </w:r>
      <w:r>
        <w:rPr>
          <w:rFonts w:hint="eastAsia" w:cs="宋体" w:asciiTheme="minorEastAsia" w:hAnsiTheme="minorEastAsia" w:eastAsiaTheme="minorEastAsia"/>
          <w:spacing w:val="1"/>
          <w:sz w:val="28"/>
          <w:szCs w:val="28"/>
        </w:rPr>
        <w:t>铁岭县</w:t>
      </w:r>
      <w:r>
        <w:rPr>
          <w:rFonts w:cs="宋体" w:asciiTheme="minorEastAsia" w:hAnsiTheme="minorEastAsia" w:eastAsiaTheme="minorEastAsia"/>
          <w:spacing w:val="1"/>
          <w:sz w:val="28"/>
          <w:szCs w:val="28"/>
        </w:rPr>
        <w:t>矿</w:t>
      </w:r>
      <w:r>
        <w:rPr>
          <w:rFonts w:cs="宋体" w:asciiTheme="minorEastAsia" w:hAnsiTheme="minorEastAsia" w:eastAsiaTheme="minorEastAsia"/>
          <w:spacing w:val="3"/>
          <w:sz w:val="28"/>
          <w:szCs w:val="28"/>
        </w:rPr>
        <w:t>产资源总体规划（2021-2025年）划定的集中开采</w:t>
      </w:r>
      <w:r>
        <w:rPr>
          <w:rFonts w:hint="eastAsia" w:cs="宋体" w:asciiTheme="minorEastAsia" w:hAnsiTheme="minorEastAsia" w:eastAsiaTheme="minorEastAsia"/>
          <w:spacing w:val="1"/>
          <w:sz w:val="28"/>
          <w:szCs w:val="28"/>
        </w:rPr>
        <w:t>区</w:t>
      </w:r>
      <w:r>
        <w:rPr>
          <w:rFonts w:cs="宋体" w:asciiTheme="minorEastAsia" w:hAnsiTheme="minorEastAsia" w:eastAsiaTheme="minorEastAsia"/>
          <w:spacing w:val="3"/>
          <w:sz w:val="28"/>
          <w:szCs w:val="28"/>
        </w:rPr>
        <w:t>块，图幅</w:t>
      </w:r>
      <w:r>
        <w:rPr>
          <w:rFonts w:hint="eastAsia" w:cs="宋体" w:asciiTheme="minorEastAsia" w:hAnsiTheme="minorEastAsia" w:eastAsiaTheme="minorEastAsia"/>
          <w:spacing w:val="3"/>
          <w:sz w:val="28"/>
          <w:szCs w:val="28"/>
        </w:rPr>
        <w:t>号</w:t>
      </w:r>
      <w:r>
        <w:rPr>
          <w:rFonts w:hint="eastAsia" w:cs="仿宋" w:asciiTheme="minorEastAsia" w:hAnsiTheme="minorEastAsia" w:eastAsiaTheme="minorEastAsia"/>
          <w:spacing w:val="-4"/>
          <w:sz w:val="28"/>
          <w:szCs w:val="28"/>
        </w:rPr>
        <w:t>K51E012016</w:t>
      </w:r>
      <w:r>
        <w:rPr>
          <w:rFonts w:hint="eastAsia" w:cs="宋体" w:asciiTheme="minorEastAsia" w:hAnsiTheme="minorEastAsia" w:eastAsiaTheme="minorEastAsia"/>
          <w:spacing w:val="3"/>
          <w:sz w:val="28"/>
          <w:szCs w:val="28"/>
        </w:rPr>
        <w:t>，</w:t>
      </w:r>
      <w:r>
        <w:rPr>
          <w:rFonts w:cs="宋体" w:asciiTheme="minorEastAsia" w:hAnsiTheme="minorEastAsia" w:eastAsiaTheme="minorEastAsia"/>
          <w:spacing w:val="2"/>
          <w:sz w:val="28"/>
          <w:szCs w:val="28"/>
        </w:rPr>
        <w:t>矿区范围与《自然资源部</w:t>
      </w:r>
      <w:r>
        <w:rPr>
          <w:rFonts w:cs="宋体" w:asciiTheme="minorEastAsia" w:hAnsiTheme="minorEastAsia" w:eastAsiaTheme="minorEastAsia"/>
          <w:spacing w:val="1"/>
          <w:sz w:val="28"/>
          <w:szCs w:val="28"/>
        </w:rPr>
        <w:t>关于进一步完善矿产资</w:t>
      </w:r>
      <w:r>
        <w:rPr>
          <w:rFonts w:cs="宋体" w:asciiTheme="minorEastAsia" w:hAnsiTheme="minorEastAsia" w:eastAsiaTheme="minorEastAsia"/>
          <w:spacing w:val="3"/>
          <w:sz w:val="28"/>
          <w:szCs w:val="28"/>
        </w:rPr>
        <w:t>源勘查开采登记管理的通知》（自然资规[2023]4号）中规定的</w:t>
      </w:r>
      <w:r>
        <w:rPr>
          <w:rFonts w:cs="宋体" w:asciiTheme="minorEastAsia" w:hAnsiTheme="minorEastAsia" w:eastAsiaTheme="minorEastAsia"/>
          <w:spacing w:val="2"/>
          <w:sz w:val="28"/>
          <w:szCs w:val="28"/>
        </w:rPr>
        <w:t>矿产资</w:t>
      </w:r>
      <w:r>
        <w:rPr>
          <w:rFonts w:cs="宋体" w:asciiTheme="minorEastAsia" w:hAnsiTheme="minorEastAsia" w:eastAsiaTheme="minorEastAsia"/>
          <w:spacing w:val="-1"/>
          <w:sz w:val="28"/>
          <w:szCs w:val="28"/>
        </w:rPr>
        <w:t>源勘查开采禁限区不存在重叠情况，具体包括：</w:t>
      </w:r>
    </w:p>
    <w:p w14:paraId="27ECE661">
      <w:pPr>
        <w:spacing w:line="360" w:lineRule="auto"/>
        <w:ind w:firstLine="548" w:firstLineChars="200"/>
        <w:rPr>
          <w:rFonts w:cs="宋体" w:asciiTheme="minorEastAsia" w:hAnsiTheme="minorEastAsia" w:eastAsiaTheme="minorEastAsia"/>
          <w:sz w:val="28"/>
          <w:szCs w:val="28"/>
        </w:rPr>
      </w:pPr>
      <w:r>
        <w:rPr>
          <w:rFonts w:hint="eastAsia" w:cs="宋体" w:asciiTheme="minorEastAsia" w:hAnsiTheme="minorEastAsia" w:eastAsiaTheme="minorEastAsia"/>
          <w:spacing w:val="-3"/>
          <w:sz w:val="28"/>
          <w:szCs w:val="28"/>
        </w:rPr>
        <w:t>1、</w:t>
      </w:r>
      <w:r>
        <w:rPr>
          <w:rFonts w:cs="宋体" w:asciiTheme="minorEastAsia" w:hAnsiTheme="minorEastAsia" w:eastAsiaTheme="minorEastAsia"/>
          <w:spacing w:val="-3"/>
          <w:sz w:val="28"/>
          <w:szCs w:val="28"/>
        </w:rPr>
        <w:t>拟申请采矿权矿区范围不涉及《矿产资源法</w:t>
      </w:r>
      <w:r>
        <w:rPr>
          <w:rFonts w:cs="宋体" w:asciiTheme="minorEastAsia" w:hAnsiTheme="minorEastAsia" w:eastAsiaTheme="minorEastAsia"/>
          <w:spacing w:val="-4"/>
          <w:sz w:val="28"/>
          <w:szCs w:val="28"/>
        </w:rPr>
        <w:t>》第二十条规</w:t>
      </w:r>
      <w:r>
        <w:rPr>
          <w:rFonts w:cs="宋体" w:asciiTheme="minorEastAsia" w:hAnsiTheme="minorEastAsia" w:eastAsiaTheme="minorEastAsia"/>
          <w:spacing w:val="-1"/>
          <w:sz w:val="28"/>
          <w:szCs w:val="28"/>
        </w:rPr>
        <w:t>定的不得开采矿产资源的地区，具体包括：</w:t>
      </w:r>
    </w:p>
    <w:p w14:paraId="0B90E2E2">
      <w:pPr>
        <w:spacing w:line="360" w:lineRule="auto"/>
        <w:ind w:firstLine="568" w:firstLineChars="200"/>
        <w:rPr>
          <w:rFonts w:cs="宋体" w:asciiTheme="minorEastAsia" w:hAnsiTheme="minorEastAsia" w:eastAsiaTheme="minorEastAsia"/>
          <w:sz w:val="28"/>
          <w:szCs w:val="28"/>
        </w:rPr>
      </w:pPr>
      <w:r>
        <w:rPr>
          <w:rFonts w:cs="宋体" w:asciiTheme="minorEastAsia" w:hAnsiTheme="minorEastAsia" w:eastAsiaTheme="minorEastAsia"/>
          <w:spacing w:val="2"/>
          <w:sz w:val="28"/>
          <w:szCs w:val="28"/>
        </w:rPr>
        <w:t>港口、机场、国防工程设施圈定地区以内；重要</w:t>
      </w:r>
      <w:r>
        <w:rPr>
          <w:rFonts w:cs="宋体" w:asciiTheme="minorEastAsia" w:hAnsiTheme="minorEastAsia" w:eastAsiaTheme="minorEastAsia"/>
          <w:spacing w:val="1"/>
          <w:sz w:val="28"/>
          <w:szCs w:val="28"/>
        </w:rPr>
        <w:t>工业区、大型水利工程设施、城镇市政工程设施附近一定距离以内；铁路、重要公路两侧</w:t>
      </w:r>
      <w:r>
        <w:rPr>
          <w:rFonts w:cs="宋体" w:asciiTheme="minorEastAsia" w:hAnsiTheme="minorEastAsia" w:eastAsiaTheme="minorEastAsia"/>
          <w:spacing w:val="2"/>
          <w:sz w:val="28"/>
          <w:szCs w:val="28"/>
        </w:rPr>
        <w:t>一定</w:t>
      </w:r>
      <w:r>
        <w:rPr>
          <w:rFonts w:cs="宋体" w:asciiTheme="minorEastAsia" w:hAnsiTheme="minorEastAsia" w:eastAsiaTheme="minorEastAsia"/>
          <w:spacing w:val="1"/>
          <w:sz w:val="28"/>
          <w:szCs w:val="28"/>
        </w:rPr>
        <w:t>距离以内；重要河流、堤坝两侧一定距离以内；国家划定的自然保护区、重要风景区，国家重点保护的不能移动的历史文物和名胜古迹所</w:t>
      </w:r>
      <w:r>
        <w:rPr>
          <w:rFonts w:cs="宋体" w:asciiTheme="minorEastAsia" w:hAnsiTheme="minorEastAsia" w:eastAsiaTheme="minorEastAsia"/>
          <w:spacing w:val="-1"/>
          <w:sz w:val="28"/>
          <w:szCs w:val="28"/>
        </w:rPr>
        <w:t>在地以及国家规定不得开采矿产资源的其他地区。</w:t>
      </w:r>
    </w:p>
    <w:p w14:paraId="3EE928D0">
      <w:pPr>
        <w:spacing w:line="360" w:lineRule="auto"/>
        <w:ind w:firstLine="548" w:firstLineChars="200"/>
        <w:rPr>
          <w:rFonts w:cs="宋体" w:asciiTheme="minorEastAsia" w:hAnsiTheme="minorEastAsia" w:eastAsiaTheme="minorEastAsia"/>
          <w:spacing w:val="-3"/>
          <w:sz w:val="28"/>
          <w:szCs w:val="28"/>
        </w:rPr>
      </w:pPr>
      <w:r>
        <w:rPr>
          <w:rFonts w:hint="eastAsia" w:cs="宋体" w:asciiTheme="minorEastAsia" w:hAnsiTheme="minorEastAsia" w:eastAsiaTheme="minorEastAsia"/>
          <w:spacing w:val="-3"/>
          <w:sz w:val="28"/>
          <w:szCs w:val="28"/>
        </w:rPr>
        <w:t>2、</w:t>
      </w:r>
      <w:r>
        <w:rPr>
          <w:rFonts w:cs="宋体" w:asciiTheme="minorEastAsia" w:hAnsiTheme="minorEastAsia" w:eastAsiaTheme="minorEastAsia"/>
          <w:spacing w:val="-3"/>
          <w:sz w:val="28"/>
          <w:szCs w:val="28"/>
        </w:rPr>
        <w:t>拟申请采矿权矿区范围与国家确定</w:t>
      </w:r>
      <w:r>
        <w:rPr>
          <w:rFonts w:cs="宋体" w:asciiTheme="minorEastAsia" w:hAnsiTheme="minorEastAsia" w:eastAsiaTheme="minorEastAsia"/>
          <w:spacing w:val="-4"/>
          <w:sz w:val="28"/>
          <w:szCs w:val="28"/>
        </w:rPr>
        <w:t>的永久基本农田、生</w:t>
      </w:r>
      <w:r>
        <w:rPr>
          <w:rFonts w:cs="宋体" w:asciiTheme="minorEastAsia" w:hAnsiTheme="minorEastAsia" w:eastAsiaTheme="minorEastAsia"/>
          <w:spacing w:val="-8"/>
          <w:sz w:val="28"/>
          <w:szCs w:val="28"/>
        </w:rPr>
        <w:t>态保护红线、自然保护地</w:t>
      </w:r>
      <w:r>
        <w:rPr>
          <w:rFonts w:cs="宋体" w:asciiTheme="minorEastAsia" w:hAnsiTheme="minorEastAsia" w:eastAsiaTheme="minorEastAsia"/>
          <w:spacing w:val="-3"/>
          <w:sz w:val="28"/>
          <w:szCs w:val="28"/>
        </w:rPr>
        <w:t>、Ⅰ级和II级保</w:t>
      </w:r>
      <w:r>
        <w:rPr>
          <w:rFonts w:cs="宋体" w:asciiTheme="minorEastAsia" w:hAnsiTheme="minorEastAsia" w:eastAsiaTheme="minorEastAsia"/>
          <w:spacing w:val="-8"/>
          <w:sz w:val="28"/>
          <w:szCs w:val="28"/>
        </w:rPr>
        <w:t>护林地、天然林保护重点区域、</w:t>
      </w:r>
      <w:r>
        <w:rPr>
          <w:rFonts w:cs="宋体" w:asciiTheme="minorEastAsia" w:hAnsiTheme="minorEastAsia" w:eastAsiaTheme="minorEastAsia"/>
          <w:spacing w:val="1"/>
          <w:sz w:val="28"/>
          <w:szCs w:val="28"/>
        </w:rPr>
        <w:t>基本草原、国际重要湿地、国家重要湿地、世界自然（自然与文化）遗产地、沙化土地封禁保护区、饮用水水源保护区等区域均不存在重叠情</w:t>
      </w:r>
      <w:r>
        <w:rPr>
          <w:rFonts w:cs="宋体" w:asciiTheme="minorEastAsia" w:hAnsiTheme="minorEastAsia" w:eastAsiaTheme="minorEastAsia"/>
          <w:spacing w:val="-3"/>
          <w:sz w:val="28"/>
          <w:szCs w:val="28"/>
        </w:rPr>
        <w:t>况。</w:t>
      </w:r>
    </w:p>
    <w:p w14:paraId="6D7E6876">
      <w:pPr>
        <w:adjustRightInd w:val="0"/>
        <w:snapToGrid w:val="0"/>
        <w:spacing w:line="360" w:lineRule="auto"/>
        <w:rPr>
          <w:rFonts w:ascii="仿宋" w:hAnsi="仿宋" w:eastAsia="仿宋" w:cs="仿宋"/>
          <w:sz w:val="28"/>
          <w:szCs w:val="28"/>
        </w:rPr>
      </w:pPr>
      <w:r>
        <w:rPr>
          <w:rFonts w:ascii="仿宋" w:hAnsi="仿宋" w:eastAsia="仿宋" w:cs="仿宋"/>
          <w:sz w:val="28"/>
          <w:szCs w:val="28"/>
        </w:rPr>
        <w:drawing>
          <wp:inline distT="0" distB="0" distL="114300" distR="114300">
            <wp:extent cx="5391150" cy="2962275"/>
            <wp:effectExtent l="0" t="0" r="3810" b="9525"/>
            <wp:docPr id="31" name="图片 42" descr="屏幕截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2" descr="屏幕截图"/>
                    <pic:cNvPicPr>
                      <a:picLocks noChangeAspect="1"/>
                    </pic:cNvPicPr>
                  </pic:nvPicPr>
                  <pic:blipFill>
                    <a:blip r:embed="rId16" cstate="print"/>
                    <a:stretch>
                      <a:fillRect/>
                    </a:stretch>
                  </pic:blipFill>
                  <pic:spPr>
                    <a:xfrm>
                      <a:off x="0" y="0"/>
                      <a:ext cx="5391150" cy="2962275"/>
                    </a:xfrm>
                    <a:prstGeom prst="rect">
                      <a:avLst/>
                    </a:prstGeom>
                    <a:noFill/>
                    <a:ln>
                      <a:noFill/>
                    </a:ln>
                  </pic:spPr>
                </pic:pic>
              </a:graphicData>
            </a:graphic>
          </wp:inline>
        </w:drawing>
      </w:r>
    </w:p>
    <w:p w14:paraId="346E6B7B">
      <w:pPr>
        <w:spacing w:line="360" w:lineRule="auto"/>
        <w:jc w:val="center"/>
        <w:rPr>
          <w:rFonts w:cs="仿宋" w:asciiTheme="minorEastAsia" w:hAnsiTheme="minorEastAsia" w:eastAsiaTheme="minorEastAsia"/>
          <w:b/>
          <w:bCs/>
          <w:szCs w:val="21"/>
        </w:rPr>
      </w:pPr>
      <w:r>
        <w:rPr>
          <w:rFonts w:hint="eastAsia" w:cs="仿宋" w:asciiTheme="minorEastAsia" w:hAnsiTheme="minorEastAsia" w:eastAsiaTheme="minorEastAsia"/>
          <w:b/>
          <w:bCs/>
          <w:szCs w:val="21"/>
        </w:rPr>
        <w:t xml:space="preserve">图3-2  </w:t>
      </w:r>
      <w:r>
        <w:rPr>
          <w:rFonts w:hint="eastAsia" w:cs="宋体" w:asciiTheme="minorEastAsia" w:hAnsiTheme="minorEastAsia" w:eastAsiaTheme="minorEastAsia"/>
          <w:b/>
          <w:bCs/>
          <w:spacing w:val="-7"/>
          <w:szCs w:val="21"/>
        </w:rPr>
        <w:t>拟设矿区</w:t>
      </w:r>
      <w:r>
        <w:rPr>
          <w:rFonts w:hint="eastAsia" w:cs="仿宋" w:asciiTheme="minorEastAsia" w:hAnsiTheme="minorEastAsia" w:eastAsiaTheme="minorEastAsia"/>
          <w:b/>
          <w:bCs/>
          <w:szCs w:val="21"/>
        </w:rPr>
        <w:t>与生态红线位置关系示意图（图中范围内无其他保护区基本农田）</w:t>
      </w:r>
    </w:p>
    <w:p w14:paraId="75C19203">
      <w:pPr>
        <w:pStyle w:val="78"/>
        <w:spacing w:line="360" w:lineRule="auto"/>
        <w:ind w:firstLine="602" w:firstLineChars="200"/>
        <w:rPr>
          <w:rFonts w:ascii="宋体"/>
          <w:szCs w:val="30"/>
        </w:rPr>
      </w:pPr>
      <w:bookmarkStart w:id="159" w:name="bookmark17"/>
      <w:bookmarkEnd w:id="159"/>
      <w:bookmarkStart w:id="160" w:name="_Toc11240"/>
      <w:r>
        <w:rPr>
          <w:rFonts w:hint="eastAsia" w:ascii="宋体"/>
          <w:szCs w:val="30"/>
        </w:rPr>
        <w:t>（五）申请采矿权矿区范围</w:t>
      </w:r>
      <w:bookmarkEnd w:id="160"/>
    </w:p>
    <w:p w14:paraId="79D786E5">
      <w:pPr>
        <w:spacing w:before="5" w:line="360" w:lineRule="auto"/>
        <w:ind w:left="1" w:right="18" w:firstLine="567"/>
        <w:rPr>
          <w:rFonts w:ascii="宋体" w:hAnsi="宋体" w:cs="宋体"/>
          <w:spacing w:val="2"/>
          <w:sz w:val="28"/>
          <w:szCs w:val="28"/>
        </w:rPr>
      </w:pPr>
      <w:r>
        <w:rPr>
          <w:rFonts w:hint="eastAsia" w:ascii="宋体" w:hAnsi="宋体" w:cs="宋体"/>
          <w:spacing w:val="2"/>
          <w:sz w:val="28"/>
          <w:szCs w:val="28"/>
        </w:rPr>
        <w:t>经以上论证，本次申请的采矿权矿区范围是合理的。</w:t>
      </w:r>
    </w:p>
    <w:p w14:paraId="3E3F5241">
      <w:pPr>
        <w:spacing w:before="5" w:line="360" w:lineRule="auto"/>
        <w:ind w:left="1" w:right="18" w:firstLine="567"/>
        <w:rPr>
          <w:rFonts w:ascii="宋体" w:hAnsi="宋体" w:cs="宋体"/>
          <w:sz w:val="28"/>
          <w:szCs w:val="28"/>
        </w:rPr>
      </w:pPr>
      <w:r>
        <w:rPr>
          <w:rFonts w:hint="eastAsia" w:ascii="宋体" w:hAnsi="宋体" w:cs="宋体"/>
          <w:sz w:val="28"/>
          <w:szCs w:val="28"/>
        </w:rPr>
        <w:t>根据《辽宁省铁岭县李千户镇金家沟村建筑用白云岩矿详查</w:t>
      </w:r>
      <w:r>
        <w:rPr>
          <w:rFonts w:ascii="宋体" w:hAnsi="宋体" w:cs="宋体"/>
          <w:sz w:val="28"/>
          <w:szCs w:val="28"/>
        </w:rPr>
        <w:t>报告》及评审备案文件</w:t>
      </w:r>
      <w:r>
        <w:rPr>
          <w:rFonts w:hint="eastAsia" w:ascii="宋体" w:hAnsi="宋体" w:cs="宋体"/>
          <w:sz w:val="28"/>
          <w:szCs w:val="28"/>
        </w:rPr>
        <w:t>，结合矿体分布的特点，设计采用露天开采系统进行开采</w:t>
      </w:r>
      <w:r>
        <w:rPr>
          <w:rFonts w:ascii="宋体" w:hAnsi="宋体" w:cs="宋体"/>
          <w:sz w:val="28"/>
          <w:szCs w:val="28"/>
        </w:rPr>
        <w:t>。</w:t>
      </w:r>
      <w:r>
        <w:rPr>
          <w:rFonts w:hint="eastAsia" w:ascii="宋体" w:hAnsi="宋体" w:cs="宋体"/>
          <w:sz w:val="28"/>
          <w:szCs w:val="28"/>
        </w:rPr>
        <w:t>拟申请矿区范围内地形最高标高为262m，申请开采深度上限标高为262m，申请开采深度下限标高为170m。整体开采深度由+262至+170m。申请矿区面积为0.2km</w:t>
      </w:r>
      <w:r>
        <w:rPr>
          <w:rFonts w:hint="eastAsia" w:ascii="宋体" w:hAnsi="宋体" w:cs="宋体"/>
          <w:sz w:val="28"/>
          <w:szCs w:val="28"/>
          <w:vertAlign w:val="superscript"/>
        </w:rPr>
        <w:t>2</w:t>
      </w:r>
      <w:r>
        <w:rPr>
          <w:rFonts w:hint="eastAsia" w:ascii="宋体" w:hAnsi="宋体" w:cs="宋体"/>
          <w:sz w:val="28"/>
          <w:szCs w:val="28"/>
        </w:rPr>
        <w:t>，由19个坐标拐点圈定，矿区范围及拐点坐标见表3-3。</w:t>
      </w:r>
    </w:p>
    <w:p w14:paraId="4825FC7D">
      <w:pPr>
        <w:spacing w:line="360" w:lineRule="auto"/>
        <w:jc w:val="center"/>
        <w:rPr>
          <w:rFonts w:ascii="宋体" w:hAnsi="宋体" w:cs="宋体"/>
          <w:b/>
          <w:bCs/>
          <w:spacing w:val="-7"/>
          <w:szCs w:val="21"/>
        </w:rPr>
      </w:pPr>
      <w:r>
        <w:rPr>
          <w:rFonts w:hint="eastAsia" w:ascii="宋体" w:hAnsi="宋体" w:cs="宋体"/>
          <w:b/>
          <w:bCs/>
          <w:spacing w:val="-7"/>
          <w:szCs w:val="21"/>
        </w:rPr>
        <w:t>表 3-3    拟申请采矿权矿区范围拐点坐标表</w:t>
      </w:r>
    </w:p>
    <w:tbl>
      <w:tblPr>
        <w:tblStyle w:val="42"/>
        <w:tblW w:w="482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4"/>
        <w:gridCol w:w="2527"/>
        <w:gridCol w:w="3046"/>
        <w:gridCol w:w="1755"/>
      </w:tblGrid>
      <w:tr w14:paraId="60FF47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vMerge w:val="restart"/>
            <w:tcBorders>
              <w:top w:val="single" w:color="000000" w:sz="6" w:space="0"/>
              <w:left w:val="single" w:color="000000" w:sz="6" w:space="0"/>
              <w:bottom w:val="single" w:color="000000" w:sz="6" w:space="0"/>
              <w:right w:val="single" w:color="000000" w:sz="6" w:space="0"/>
            </w:tcBorders>
            <w:vAlign w:val="center"/>
          </w:tcPr>
          <w:p w14:paraId="3CDD71E2">
            <w:pPr>
              <w:pStyle w:val="119"/>
              <w:spacing w:line="0" w:lineRule="atLeast"/>
              <w:ind w:left="-4"/>
              <w:jc w:val="center"/>
              <w:rPr>
                <w:rFonts w:asciiTheme="minorEastAsia" w:hAnsiTheme="minorEastAsia" w:eastAsiaTheme="minorEastAsia"/>
                <w:sz w:val="21"/>
                <w:szCs w:val="21"/>
              </w:rPr>
            </w:pPr>
            <w:r>
              <w:rPr>
                <w:rFonts w:hint="eastAsia" w:asciiTheme="minorEastAsia" w:hAnsiTheme="minorEastAsia" w:eastAsiaTheme="minorEastAsia"/>
                <w:spacing w:val="-6"/>
                <w:sz w:val="21"/>
                <w:szCs w:val="21"/>
              </w:rPr>
              <w:t>拐点</w:t>
            </w:r>
          </w:p>
          <w:p w14:paraId="02CA12EF">
            <w:pPr>
              <w:pStyle w:val="119"/>
              <w:spacing w:line="0" w:lineRule="atLeast"/>
              <w:ind w:left="-4"/>
              <w:jc w:val="center"/>
              <w:rPr>
                <w:rFonts w:asciiTheme="minorEastAsia" w:hAnsiTheme="minorEastAsia" w:eastAsiaTheme="minorEastAsia"/>
                <w:sz w:val="21"/>
                <w:szCs w:val="21"/>
              </w:rPr>
            </w:pPr>
            <w:r>
              <w:rPr>
                <w:rFonts w:hint="eastAsia" w:asciiTheme="minorEastAsia" w:hAnsiTheme="minorEastAsia" w:eastAsiaTheme="minorEastAsia"/>
                <w:spacing w:val="-6"/>
                <w:sz w:val="21"/>
                <w:szCs w:val="21"/>
              </w:rPr>
              <w:t>编号</w:t>
            </w:r>
          </w:p>
        </w:tc>
        <w:tc>
          <w:tcPr>
            <w:tcW w:w="5573" w:type="dxa"/>
            <w:gridSpan w:val="2"/>
            <w:tcBorders>
              <w:top w:val="single" w:color="000000" w:sz="6" w:space="0"/>
              <w:left w:val="single" w:color="000000" w:sz="6" w:space="0"/>
              <w:bottom w:val="single" w:color="000000" w:sz="6" w:space="0"/>
              <w:right w:val="single" w:color="000000" w:sz="6" w:space="0"/>
            </w:tcBorders>
            <w:vAlign w:val="center"/>
          </w:tcPr>
          <w:p w14:paraId="2A118C24">
            <w:pPr>
              <w:pStyle w:val="119"/>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pacing w:val="-5"/>
                <w:sz w:val="21"/>
                <w:szCs w:val="21"/>
              </w:rPr>
              <w:t>2000国家大地坐标系</w:t>
            </w:r>
          </w:p>
        </w:tc>
        <w:tc>
          <w:tcPr>
            <w:tcW w:w="1755" w:type="dxa"/>
            <w:vMerge w:val="restart"/>
            <w:tcBorders>
              <w:top w:val="single" w:color="000000" w:sz="6" w:space="0"/>
              <w:left w:val="single" w:color="000000" w:sz="6" w:space="0"/>
              <w:right w:val="single" w:color="000000" w:sz="6" w:space="0"/>
            </w:tcBorders>
            <w:vAlign w:val="center"/>
          </w:tcPr>
          <w:p w14:paraId="2473135B">
            <w:pPr>
              <w:pStyle w:val="119"/>
              <w:spacing w:line="0" w:lineRule="atLeast"/>
              <w:jc w:val="center"/>
              <w:rPr>
                <w:rFonts w:asciiTheme="minorEastAsia" w:hAnsiTheme="minorEastAsia" w:eastAsiaTheme="minorEastAsia"/>
                <w:spacing w:val="-5"/>
                <w:sz w:val="21"/>
                <w:szCs w:val="21"/>
                <w:lang w:eastAsia="zh-CN"/>
              </w:rPr>
            </w:pPr>
            <w:r>
              <w:rPr>
                <w:rFonts w:hint="eastAsia" w:asciiTheme="minorEastAsia" w:hAnsiTheme="minorEastAsia" w:eastAsiaTheme="minorEastAsia"/>
                <w:spacing w:val="-5"/>
                <w:sz w:val="21"/>
                <w:szCs w:val="21"/>
              </w:rPr>
              <w:t>备注</w:t>
            </w:r>
          </w:p>
        </w:tc>
      </w:tr>
      <w:tr w14:paraId="47DB24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vMerge w:val="continue"/>
            <w:tcBorders>
              <w:top w:val="single" w:color="000000" w:sz="6" w:space="0"/>
              <w:left w:val="single" w:color="000000" w:sz="6" w:space="0"/>
              <w:bottom w:val="single" w:color="000000" w:sz="6" w:space="0"/>
              <w:right w:val="single" w:color="000000" w:sz="6" w:space="0"/>
            </w:tcBorders>
            <w:vAlign w:val="center"/>
          </w:tcPr>
          <w:p w14:paraId="178A6939">
            <w:pPr>
              <w:spacing w:line="0" w:lineRule="atLeast"/>
              <w:jc w:val="center"/>
              <w:rPr>
                <w:rFonts w:cs="宋体" w:asciiTheme="minorEastAsia" w:hAnsiTheme="minorEastAsia" w:eastAsiaTheme="minorEastAsia"/>
                <w:szCs w:val="21"/>
              </w:rPr>
            </w:pPr>
          </w:p>
        </w:tc>
        <w:tc>
          <w:tcPr>
            <w:tcW w:w="2527" w:type="dxa"/>
            <w:tcBorders>
              <w:top w:val="single" w:color="000000" w:sz="6" w:space="0"/>
              <w:left w:val="single" w:color="000000" w:sz="6" w:space="0"/>
              <w:bottom w:val="single" w:color="000000" w:sz="6" w:space="0"/>
              <w:right w:val="single" w:color="000000" w:sz="6" w:space="0"/>
            </w:tcBorders>
            <w:vAlign w:val="center"/>
          </w:tcPr>
          <w:p w14:paraId="6BCB94BA">
            <w:pPr>
              <w:pStyle w:val="119"/>
              <w:spacing w:line="276" w:lineRule="auto"/>
              <w:ind w:left="76" w:leftChars="3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X</w:t>
            </w:r>
          </w:p>
        </w:tc>
        <w:tc>
          <w:tcPr>
            <w:tcW w:w="3046" w:type="dxa"/>
            <w:tcBorders>
              <w:top w:val="single" w:color="000000" w:sz="6" w:space="0"/>
              <w:left w:val="single" w:color="000000" w:sz="6" w:space="0"/>
              <w:bottom w:val="single" w:color="000000" w:sz="6" w:space="0"/>
              <w:right w:val="single" w:color="000000" w:sz="6" w:space="0"/>
            </w:tcBorders>
            <w:vAlign w:val="center"/>
          </w:tcPr>
          <w:p w14:paraId="3CC2F325">
            <w:pPr>
              <w:pStyle w:val="119"/>
              <w:spacing w:line="276" w:lineRule="auto"/>
              <w:ind w:left="76" w:leftChars="3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Y</w:t>
            </w:r>
          </w:p>
        </w:tc>
        <w:tc>
          <w:tcPr>
            <w:tcW w:w="1755" w:type="dxa"/>
            <w:vMerge w:val="continue"/>
            <w:tcBorders>
              <w:left w:val="single" w:color="000000" w:sz="6" w:space="0"/>
              <w:bottom w:val="single" w:color="000000" w:sz="6" w:space="0"/>
              <w:right w:val="single" w:color="000000" w:sz="6" w:space="0"/>
            </w:tcBorders>
            <w:vAlign w:val="center"/>
          </w:tcPr>
          <w:p w14:paraId="6277FF55">
            <w:pPr>
              <w:pStyle w:val="119"/>
              <w:spacing w:line="0" w:lineRule="atLeast"/>
              <w:ind w:left="76" w:leftChars="36"/>
              <w:jc w:val="center"/>
              <w:rPr>
                <w:rFonts w:asciiTheme="minorEastAsia" w:hAnsiTheme="minorEastAsia" w:eastAsiaTheme="minorEastAsia"/>
                <w:sz w:val="21"/>
                <w:szCs w:val="21"/>
              </w:rPr>
            </w:pPr>
          </w:p>
        </w:tc>
      </w:tr>
      <w:tr w14:paraId="577200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2189D59E">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w:t>
            </w:r>
          </w:p>
        </w:tc>
        <w:tc>
          <w:tcPr>
            <w:tcW w:w="2527" w:type="dxa"/>
            <w:tcBorders>
              <w:top w:val="single" w:color="000000" w:sz="6" w:space="0"/>
              <w:left w:val="single" w:color="000000" w:sz="6" w:space="0"/>
              <w:bottom w:val="single" w:color="000000" w:sz="6" w:space="0"/>
              <w:right w:val="single" w:color="000000" w:sz="6" w:space="0"/>
            </w:tcBorders>
            <w:vAlign w:val="center"/>
          </w:tcPr>
          <w:p w14:paraId="7A7FDED6">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157DECAB">
            <w:pPr>
              <w:jc w:val="center"/>
              <w:rPr>
                <w:rFonts w:cs="宋体" w:asciiTheme="minorEastAsia" w:hAnsiTheme="minorEastAsia" w:eastAsiaTheme="minorEastAsia"/>
                <w:color w:val="000000"/>
                <w:szCs w:val="21"/>
              </w:rPr>
            </w:pPr>
          </w:p>
        </w:tc>
        <w:tc>
          <w:tcPr>
            <w:tcW w:w="1755" w:type="dxa"/>
            <w:vMerge w:val="restart"/>
            <w:tcBorders>
              <w:top w:val="single" w:color="000000" w:sz="6" w:space="0"/>
              <w:left w:val="single" w:color="000000" w:sz="6" w:space="0"/>
              <w:right w:val="single" w:color="000000" w:sz="6" w:space="0"/>
            </w:tcBorders>
            <w:vAlign w:val="center"/>
          </w:tcPr>
          <w:p w14:paraId="0F24EF08">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矿区面积0.2km</w:t>
            </w:r>
            <w:r>
              <w:rPr>
                <w:rFonts w:hint="eastAsia" w:cs="仿宋" w:asciiTheme="minorEastAsia" w:hAnsiTheme="minorEastAsia" w:eastAsiaTheme="minorEastAsia"/>
                <w:color w:val="000000"/>
                <w:kern w:val="0"/>
                <w:szCs w:val="21"/>
                <w:vertAlign w:val="superscript"/>
              </w:rPr>
              <w:t>2</w:t>
            </w:r>
          </w:p>
          <w:p w14:paraId="2D77F87B">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开采标高</w:t>
            </w:r>
          </w:p>
          <w:p w14:paraId="15CC14B1">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262m-170m</w:t>
            </w:r>
          </w:p>
        </w:tc>
      </w:tr>
      <w:tr w14:paraId="1F2293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3F373C94">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2</w:t>
            </w:r>
          </w:p>
        </w:tc>
        <w:tc>
          <w:tcPr>
            <w:tcW w:w="2527" w:type="dxa"/>
            <w:tcBorders>
              <w:top w:val="single" w:color="000000" w:sz="6" w:space="0"/>
              <w:left w:val="single" w:color="000000" w:sz="6" w:space="0"/>
              <w:bottom w:val="single" w:color="000000" w:sz="6" w:space="0"/>
              <w:right w:val="single" w:color="000000" w:sz="6" w:space="0"/>
            </w:tcBorders>
            <w:vAlign w:val="center"/>
          </w:tcPr>
          <w:p w14:paraId="7653AC96">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2FB8FF1E">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20B94903">
            <w:pPr>
              <w:widowControl/>
              <w:spacing w:line="0" w:lineRule="atLeast"/>
              <w:jc w:val="center"/>
              <w:textAlignment w:val="bottom"/>
              <w:rPr>
                <w:rFonts w:cs="仿宋" w:asciiTheme="minorEastAsia" w:hAnsiTheme="minorEastAsia" w:eastAsiaTheme="minorEastAsia"/>
                <w:color w:val="000000"/>
                <w:kern w:val="0"/>
                <w:szCs w:val="21"/>
              </w:rPr>
            </w:pPr>
          </w:p>
        </w:tc>
      </w:tr>
      <w:tr w14:paraId="0BD66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535C39CB">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3</w:t>
            </w:r>
          </w:p>
        </w:tc>
        <w:tc>
          <w:tcPr>
            <w:tcW w:w="2527" w:type="dxa"/>
            <w:tcBorders>
              <w:top w:val="single" w:color="000000" w:sz="6" w:space="0"/>
              <w:left w:val="single" w:color="000000" w:sz="6" w:space="0"/>
              <w:bottom w:val="single" w:color="000000" w:sz="6" w:space="0"/>
              <w:right w:val="single" w:color="000000" w:sz="6" w:space="0"/>
            </w:tcBorders>
            <w:vAlign w:val="center"/>
          </w:tcPr>
          <w:p w14:paraId="4507C406">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3009D2A5">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57C69EB8">
            <w:pPr>
              <w:widowControl/>
              <w:spacing w:line="0" w:lineRule="atLeast"/>
              <w:jc w:val="center"/>
              <w:textAlignment w:val="bottom"/>
              <w:rPr>
                <w:rFonts w:cs="仿宋" w:asciiTheme="minorEastAsia" w:hAnsiTheme="minorEastAsia" w:eastAsiaTheme="minorEastAsia"/>
                <w:color w:val="000000"/>
                <w:kern w:val="0"/>
                <w:szCs w:val="21"/>
              </w:rPr>
            </w:pPr>
          </w:p>
        </w:tc>
      </w:tr>
      <w:tr w14:paraId="2E23A3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1FD4205C">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4</w:t>
            </w:r>
          </w:p>
        </w:tc>
        <w:tc>
          <w:tcPr>
            <w:tcW w:w="2527" w:type="dxa"/>
            <w:tcBorders>
              <w:top w:val="single" w:color="000000" w:sz="6" w:space="0"/>
              <w:left w:val="single" w:color="000000" w:sz="6" w:space="0"/>
              <w:bottom w:val="single" w:color="000000" w:sz="6" w:space="0"/>
              <w:right w:val="single" w:color="000000" w:sz="6" w:space="0"/>
            </w:tcBorders>
            <w:vAlign w:val="center"/>
          </w:tcPr>
          <w:p w14:paraId="3A474EA4">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51282913">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42C0A843">
            <w:pPr>
              <w:widowControl/>
              <w:spacing w:line="0" w:lineRule="atLeast"/>
              <w:jc w:val="center"/>
              <w:textAlignment w:val="bottom"/>
              <w:rPr>
                <w:rFonts w:cs="仿宋" w:asciiTheme="minorEastAsia" w:hAnsiTheme="minorEastAsia" w:eastAsiaTheme="minorEastAsia"/>
                <w:color w:val="000000"/>
                <w:kern w:val="0"/>
                <w:szCs w:val="21"/>
              </w:rPr>
            </w:pPr>
          </w:p>
        </w:tc>
      </w:tr>
      <w:tr w14:paraId="10FF8D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1D7E2A7C">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5</w:t>
            </w:r>
          </w:p>
        </w:tc>
        <w:tc>
          <w:tcPr>
            <w:tcW w:w="2527" w:type="dxa"/>
            <w:tcBorders>
              <w:top w:val="single" w:color="000000" w:sz="6" w:space="0"/>
              <w:left w:val="single" w:color="000000" w:sz="6" w:space="0"/>
              <w:bottom w:val="single" w:color="000000" w:sz="6" w:space="0"/>
              <w:right w:val="single" w:color="000000" w:sz="6" w:space="0"/>
            </w:tcBorders>
            <w:vAlign w:val="center"/>
          </w:tcPr>
          <w:p w14:paraId="14437B68">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40F0D337">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6EE3D7D3">
            <w:pPr>
              <w:widowControl/>
              <w:spacing w:line="0" w:lineRule="atLeast"/>
              <w:jc w:val="center"/>
              <w:textAlignment w:val="bottom"/>
              <w:rPr>
                <w:rFonts w:cs="仿宋" w:asciiTheme="minorEastAsia" w:hAnsiTheme="minorEastAsia" w:eastAsiaTheme="minorEastAsia"/>
                <w:color w:val="000000"/>
                <w:kern w:val="0"/>
                <w:szCs w:val="21"/>
              </w:rPr>
            </w:pPr>
          </w:p>
        </w:tc>
      </w:tr>
      <w:tr w14:paraId="4A0373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4B43227D">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6</w:t>
            </w:r>
          </w:p>
        </w:tc>
        <w:tc>
          <w:tcPr>
            <w:tcW w:w="2527" w:type="dxa"/>
            <w:tcBorders>
              <w:top w:val="single" w:color="000000" w:sz="6" w:space="0"/>
              <w:left w:val="single" w:color="000000" w:sz="6" w:space="0"/>
              <w:bottom w:val="single" w:color="000000" w:sz="6" w:space="0"/>
              <w:right w:val="single" w:color="000000" w:sz="6" w:space="0"/>
            </w:tcBorders>
            <w:vAlign w:val="center"/>
          </w:tcPr>
          <w:p w14:paraId="1B6E55E3">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7CA27243">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1ECD99A3">
            <w:pPr>
              <w:widowControl/>
              <w:spacing w:line="0" w:lineRule="atLeast"/>
              <w:jc w:val="center"/>
              <w:textAlignment w:val="bottom"/>
              <w:rPr>
                <w:rFonts w:cs="仿宋" w:asciiTheme="minorEastAsia" w:hAnsiTheme="minorEastAsia" w:eastAsiaTheme="minorEastAsia"/>
                <w:color w:val="000000"/>
                <w:kern w:val="0"/>
                <w:szCs w:val="21"/>
              </w:rPr>
            </w:pPr>
          </w:p>
        </w:tc>
      </w:tr>
      <w:tr w14:paraId="52EAB5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120C6446">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7</w:t>
            </w:r>
          </w:p>
        </w:tc>
        <w:tc>
          <w:tcPr>
            <w:tcW w:w="2527" w:type="dxa"/>
            <w:tcBorders>
              <w:top w:val="single" w:color="000000" w:sz="6" w:space="0"/>
              <w:left w:val="single" w:color="000000" w:sz="6" w:space="0"/>
              <w:bottom w:val="single" w:color="000000" w:sz="6" w:space="0"/>
              <w:right w:val="single" w:color="000000" w:sz="6" w:space="0"/>
            </w:tcBorders>
            <w:vAlign w:val="center"/>
          </w:tcPr>
          <w:p w14:paraId="15ACA1D5">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7E522980">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1F5FFD95">
            <w:pPr>
              <w:widowControl/>
              <w:spacing w:line="0" w:lineRule="atLeast"/>
              <w:jc w:val="center"/>
              <w:textAlignment w:val="bottom"/>
              <w:rPr>
                <w:rFonts w:cs="仿宋" w:asciiTheme="minorEastAsia" w:hAnsiTheme="minorEastAsia" w:eastAsiaTheme="minorEastAsia"/>
                <w:color w:val="000000"/>
                <w:kern w:val="0"/>
                <w:szCs w:val="21"/>
              </w:rPr>
            </w:pPr>
          </w:p>
        </w:tc>
      </w:tr>
      <w:tr w14:paraId="4A02C3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20368232">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8</w:t>
            </w:r>
          </w:p>
        </w:tc>
        <w:tc>
          <w:tcPr>
            <w:tcW w:w="2527" w:type="dxa"/>
            <w:tcBorders>
              <w:top w:val="single" w:color="000000" w:sz="6" w:space="0"/>
              <w:left w:val="single" w:color="000000" w:sz="6" w:space="0"/>
              <w:bottom w:val="single" w:color="000000" w:sz="6" w:space="0"/>
              <w:right w:val="single" w:color="000000" w:sz="6" w:space="0"/>
            </w:tcBorders>
            <w:vAlign w:val="center"/>
          </w:tcPr>
          <w:p w14:paraId="10224679">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6DF53438">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1D1AA206">
            <w:pPr>
              <w:widowControl/>
              <w:spacing w:line="0" w:lineRule="atLeast"/>
              <w:jc w:val="center"/>
              <w:textAlignment w:val="bottom"/>
              <w:rPr>
                <w:rFonts w:cs="仿宋" w:asciiTheme="minorEastAsia" w:hAnsiTheme="minorEastAsia" w:eastAsiaTheme="minorEastAsia"/>
                <w:color w:val="000000"/>
                <w:kern w:val="0"/>
                <w:szCs w:val="21"/>
              </w:rPr>
            </w:pPr>
          </w:p>
        </w:tc>
      </w:tr>
      <w:tr w14:paraId="5D360D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155F16B6">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9</w:t>
            </w:r>
          </w:p>
        </w:tc>
        <w:tc>
          <w:tcPr>
            <w:tcW w:w="2527" w:type="dxa"/>
            <w:tcBorders>
              <w:top w:val="single" w:color="000000" w:sz="6" w:space="0"/>
              <w:left w:val="single" w:color="000000" w:sz="6" w:space="0"/>
              <w:bottom w:val="single" w:color="000000" w:sz="6" w:space="0"/>
              <w:right w:val="single" w:color="000000" w:sz="6" w:space="0"/>
            </w:tcBorders>
            <w:vAlign w:val="center"/>
          </w:tcPr>
          <w:p w14:paraId="29A59EAC">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14E2E377">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12314F27">
            <w:pPr>
              <w:widowControl/>
              <w:spacing w:line="0" w:lineRule="atLeast"/>
              <w:jc w:val="center"/>
              <w:textAlignment w:val="bottom"/>
              <w:rPr>
                <w:rFonts w:cs="仿宋" w:asciiTheme="minorEastAsia" w:hAnsiTheme="minorEastAsia" w:eastAsiaTheme="minorEastAsia"/>
                <w:color w:val="000000"/>
                <w:kern w:val="0"/>
                <w:szCs w:val="21"/>
              </w:rPr>
            </w:pPr>
          </w:p>
        </w:tc>
      </w:tr>
      <w:tr w14:paraId="286FE5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27DB8D86">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10</w:t>
            </w:r>
          </w:p>
        </w:tc>
        <w:tc>
          <w:tcPr>
            <w:tcW w:w="2527" w:type="dxa"/>
            <w:tcBorders>
              <w:top w:val="single" w:color="000000" w:sz="6" w:space="0"/>
              <w:left w:val="single" w:color="000000" w:sz="6" w:space="0"/>
              <w:bottom w:val="single" w:color="000000" w:sz="6" w:space="0"/>
              <w:right w:val="single" w:color="000000" w:sz="6" w:space="0"/>
            </w:tcBorders>
            <w:vAlign w:val="center"/>
          </w:tcPr>
          <w:p w14:paraId="6DF5F6F8">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13113724">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7D28AF45">
            <w:pPr>
              <w:widowControl/>
              <w:spacing w:line="0" w:lineRule="atLeast"/>
              <w:jc w:val="center"/>
              <w:textAlignment w:val="bottom"/>
              <w:rPr>
                <w:rFonts w:cs="仿宋" w:asciiTheme="minorEastAsia" w:hAnsiTheme="minorEastAsia" w:eastAsiaTheme="minorEastAsia"/>
                <w:color w:val="000000"/>
                <w:kern w:val="0"/>
                <w:szCs w:val="21"/>
              </w:rPr>
            </w:pPr>
          </w:p>
        </w:tc>
      </w:tr>
      <w:tr w14:paraId="739C7E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7AABC2A9">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11</w:t>
            </w:r>
          </w:p>
        </w:tc>
        <w:tc>
          <w:tcPr>
            <w:tcW w:w="2527" w:type="dxa"/>
            <w:tcBorders>
              <w:top w:val="single" w:color="000000" w:sz="6" w:space="0"/>
              <w:left w:val="single" w:color="000000" w:sz="6" w:space="0"/>
              <w:bottom w:val="single" w:color="000000" w:sz="6" w:space="0"/>
              <w:right w:val="single" w:color="000000" w:sz="6" w:space="0"/>
            </w:tcBorders>
            <w:vAlign w:val="center"/>
          </w:tcPr>
          <w:p w14:paraId="0F8D7769">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2827F98B">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5649B815">
            <w:pPr>
              <w:widowControl/>
              <w:spacing w:line="0" w:lineRule="atLeast"/>
              <w:jc w:val="center"/>
              <w:textAlignment w:val="bottom"/>
              <w:rPr>
                <w:rFonts w:cs="仿宋" w:asciiTheme="minorEastAsia" w:hAnsiTheme="minorEastAsia" w:eastAsiaTheme="minorEastAsia"/>
                <w:color w:val="000000"/>
                <w:kern w:val="0"/>
                <w:szCs w:val="21"/>
              </w:rPr>
            </w:pPr>
          </w:p>
        </w:tc>
      </w:tr>
      <w:tr w14:paraId="7EA660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11755A1D">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12</w:t>
            </w:r>
          </w:p>
        </w:tc>
        <w:tc>
          <w:tcPr>
            <w:tcW w:w="2527" w:type="dxa"/>
            <w:tcBorders>
              <w:top w:val="single" w:color="000000" w:sz="6" w:space="0"/>
              <w:left w:val="single" w:color="000000" w:sz="6" w:space="0"/>
              <w:bottom w:val="single" w:color="000000" w:sz="6" w:space="0"/>
              <w:right w:val="single" w:color="000000" w:sz="6" w:space="0"/>
            </w:tcBorders>
            <w:vAlign w:val="center"/>
          </w:tcPr>
          <w:p w14:paraId="63436134">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4E59038C">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31A43E6D">
            <w:pPr>
              <w:widowControl/>
              <w:spacing w:line="0" w:lineRule="atLeast"/>
              <w:jc w:val="center"/>
              <w:textAlignment w:val="bottom"/>
              <w:rPr>
                <w:rFonts w:cs="仿宋" w:asciiTheme="minorEastAsia" w:hAnsiTheme="minorEastAsia" w:eastAsiaTheme="minorEastAsia"/>
                <w:color w:val="000000"/>
                <w:kern w:val="0"/>
                <w:szCs w:val="21"/>
              </w:rPr>
            </w:pPr>
          </w:p>
        </w:tc>
      </w:tr>
      <w:tr w14:paraId="4EC801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69EB5098">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13</w:t>
            </w:r>
          </w:p>
        </w:tc>
        <w:tc>
          <w:tcPr>
            <w:tcW w:w="2527" w:type="dxa"/>
            <w:tcBorders>
              <w:top w:val="single" w:color="000000" w:sz="6" w:space="0"/>
              <w:left w:val="single" w:color="000000" w:sz="6" w:space="0"/>
              <w:bottom w:val="single" w:color="000000" w:sz="6" w:space="0"/>
              <w:right w:val="single" w:color="000000" w:sz="6" w:space="0"/>
            </w:tcBorders>
            <w:vAlign w:val="center"/>
          </w:tcPr>
          <w:p w14:paraId="35258F10">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6AE71574">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1ED4177F">
            <w:pPr>
              <w:widowControl/>
              <w:spacing w:line="0" w:lineRule="atLeast"/>
              <w:jc w:val="center"/>
              <w:textAlignment w:val="bottom"/>
              <w:rPr>
                <w:rFonts w:cs="仿宋" w:asciiTheme="minorEastAsia" w:hAnsiTheme="minorEastAsia" w:eastAsiaTheme="minorEastAsia"/>
                <w:color w:val="000000"/>
                <w:kern w:val="0"/>
                <w:szCs w:val="21"/>
              </w:rPr>
            </w:pPr>
          </w:p>
        </w:tc>
      </w:tr>
      <w:tr w14:paraId="45199D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37D83470">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14</w:t>
            </w:r>
          </w:p>
        </w:tc>
        <w:tc>
          <w:tcPr>
            <w:tcW w:w="2527" w:type="dxa"/>
            <w:tcBorders>
              <w:top w:val="single" w:color="000000" w:sz="6" w:space="0"/>
              <w:left w:val="single" w:color="000000" w:sz="6" w:space="0"/>
              <w:bottom w:val="single" w:color="000000" w:sz="6" w:space="0"/>
              <w:right w:val="single" w:color="000000" w:sz="6" w:space="0"/>
            </w:tcBorders>
            <w:vAlign w:val="center"/>
          </w:tcPr>
          <w:p w14:paraId="20E3F0BF">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0AE01652">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3E8F59C2">
            <w:pPr>
              <w:widowControl/>
              <w:spacing w:line="0" w:lineRule="atLeast"/>
              <w:jc w:val="center"/>
              <w:textAlignment w:val="bottom"/>
              <w:rPr>
                <w:rFonts w:cs="仿宋" w:asciiTheme="minorEastAsia" w:hAnsiTheme="minorEastAsia" w:eastAsiaTheme="minorEastAsia"/>
                <w:color w:val="000000"/>
                <w:kern w:val="0"/>
                <w:szCs w:val="21"/>
              </w:rPr>
            </w:pPr>
          </w:p>
        </w:tc>
      </w:tr>
      <w:tr w14:paraId="4BA219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6238DD06">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15</w:t>
            </w:r>
          </w:p>
        </w:tc>
        <w:tc>
          <w:tcPr>
            <w:tcW w:w="2527" w:type="dxa"/>
            <w:tcBorders>
              <w:top w:val="single" w:color="000000" w:sz="6" w:space="0"/>
              <w:left w:val="single" w:color="000000" w:sz="6" w:space="0"/>
              <w:bottom w:val="single" w:color="000000" w:sz="6" w:space="0"/>
              <w:right w:val="single" w:color="000000" w:sz="6" w:space="0"/>
            </w:tcBorders>
            <w:vAlign w:val="center"/>
          </w:tcPr>
          <w:p w14:paraId="413F5CC0">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627EB3D7">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440AB632">
            <w:pPr>
              <w:widowControl/>
              <w:spacing w:line="0" w:lineRule="atLeast"/>
              <w:jc w:val="center"/>
              <w:textAlignment w:val="bottom"/>
              <w:rPr>
                <w:rFonts w:cs="仿宋" w:asciiTheme="minorEastAsia" w:hAnsiTheme="minorEastAsia" w:eastAsiaTheme="minorEastAsia"/>
                <w:color w:val="000000"/>
                <w:kern w:val="0"/>
                <w:szCs w:val="21"/>
              </w:rPr>
            </w:pPr>
          </w:p>
        </w:tc>
      </w:tr>
      <w:tr w14:paraId="7B70DF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1840A356">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16</w:t>
            </w:r>
          </w:p>
        </w:tc>
        <w:tc>
          <w:tcPr>
            <w:tcW w:w="2527" w:type="dxa"/>
            <w:tcBorders>
              <w:top w:val="single" w:color="000000" w:sz="6" w:space="0"/>
              <w:left w:val="single" w:color="000000" w:sz="6" w:space="0"/>
              <w:bottom w:val="single" w:color="000000" w:sz="6" w:space="0"/>
              <w:right w:val="single" w:color="000000" w:sz="6" w:space="0"/>
            </w:tcBorders>
            <w:vAlign w:val="center"/>
          </w:tcPr>
          <w:p w14:paraId="1366A48C">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74FD7BBE">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0C2561CF">
            <w:pPr>
              <w:widowControl/>
              <w:spacing w:line="0" w:lineRule="atLeast"/>
              <w:jc w:val="center"/>
              <w:textAlignment w:val="bottom"/>
              <w:rPr>
                <w:rFonts w:cs="仿宋" w:asciiTheme="minorEastAsia" w:hAnsiTheme="minorEastAsia" w:eastAsiaTheme="minorEastAsia"/>
                <w:color w:val="000000"/>
                <w:kern w:val="0"/>
                <w:szCs w:val="21"/>
              </w:rPr>
            </w:pPr>
          </w:p>
        </w:tc>
      </w:tr>
      <w:tr w14:paraId="473F98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2CFBB97A">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17</w:t>
            </w:r>
          </w:p>
        </w:tc>
        <w:tc>
          <w:tcPr>
            <w:tcW w:w="2527" w:type="dxa"/>
            <w:tcBorders>
              <w:top w:val="single" w:color="000000" w:sz="6" w:space="0"/>
              <w:left w:val="single" w:color="000000" w:sz="6" w:space="0"/>
              <w:bottom w:val="single" w:color="000000" w:sz="6" w:space="0"/>
              <w:right w:val="single" w:color="000000" w:sz="6" w:space="0"/>
            </w:tcBorders>
            <w:vAlign w:val="center"/>
          </w:tcPr>
          <w:p w14:paraId="5A9D9D2D">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54C2DD34">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22651304">
            <w:pPr>
              <w:widowControl/>
              <w:spacing w:line="0" w:lineRule="atLeast"/>
              <w:jc w:val="center"/>
              <w:textAlignment w:val="bottom"/>
              <w:rPr>
                <w:rFonts w:cs="仿宋" w:asciiTheme="minorEastAsia" w:hAnsiTheme="minorEastAsia" w:eastAsiaTheme="minorEastAsia"/>
                <w:color w:val="000000"/>
                <w:kern w:val="0"/>
                <w:szCs w:val="21"/>
              </w:rPr>
            </w:pPr>
          </w:p>
        </w:tc>
      </w:tr>
      <w:tr w14:paraId="482001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356C47CC">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18</w:t>
            </w:r>
          </w:p>
        </w:tc>
        <w:tc>
          <w:tcPr>
            <w:tcW w:w="2527" w:type="dxa"/>
            <w:tcBorders>
              <w:top w:val="single" w:color="000000" w:sz="6" w:space="0"/>
              <w:left w:val="single" w:color="000000" w:sz="6" w:space="0"/>
              <w:bottom w:val="single" w:color="000000" w:sz="6" w:space="0"/>
              <w:right w:val="single" w:color="000000" w:sz="6" w:space="0"/>
            </w:tcBorders>
            <w:vAlign w:val="center"/>
          </w:tcPr>
          <w:p w14:paraId="7496312A">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046B5D05">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7DFF5184">
            <w:pPr>
              <w:widowControl/>
              <w:spacing w:line="0" w:lineRule="atLeast"/>
              <w:jc w:val="center"/>
              <w:textAlignment w:val="bottom"/>
              <w:rPr>
                <w:rFonts w:cs="仿宋" w:asciiTheme="minorEastAsia" w:hAnsiTheme="minorEastAsia" w:eastAsiaTheme="minorEastAsia"/>
                <w:color w:val="000000"/>
                <w:kern w:val="0"/>
                <w:szCs w:val="21"/>
              </w:rPr>
            </w:pPr>
          </w:p>
        </w:tc>
      </w:tr>
      <w:tr w14:paraId="593C17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104" w:type="dxa"/>
            <w:tcBorders>
              <w:top w:val="single" w:color="000000" w:sz="6" w:space="0"/>
              <w:left w:val="single" w:color="000000" w:sz="6" w:space="0"/>
              <w:bottom w:val="single" w:color="000000" w:sz="6" w:space="0"/>
              <w:right w:val="single" w:color="000000" w:sz="6" w:space="0"/>
            </w:tcBorders>
            <w:vAlign w:val="center"/>
          </w:tcPr>
          <w:p w14:paraId="68AC5037">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19</w:t>
            </w:r>
          </w:p>
        </w:tc>
        <w:tc>
          <w:tcPr>
            <w:tcW w:w="2527" w:type="dxa"/>
            <w:tcBorders>
              <w:top w:val="single" w:color="000000" w:sz="6" w:space="0"/>
              <w:left w:val="single" w:color="000000" w:sz="6" w:space="0"/>
              <w:bottom w:val="single" w:color="000000" w:sz="6" w:space="0"/>
              <w:right w:val="single" w:color="000000" w:sz="6" w:space="0"/>
            </w:tcBorders>
            <w:vAlign w:val="center"/>
          </w:tcPr>
          <w:p w14:paraId="6D1AB409">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0326EFB9">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76BF01D7">
            <w:pPr>
              <w:widowControl/>
              <w:spacing w:line="0" w:lineRule="atLeast"/>
              <w:jc w:val="center"/>
              <w:textAlignment w:val="bottom"/>
              <w:rPr>
                <w:rFonts w:cs="仿宋" w:asciiTheme="minorEastAsia" w:hAnsiTheme="minorEastAsia" w:eastAsiaTheme="minorEastAsia"/>
                <w:color w:val="000000"/>
                <w:kern w:val="0"/>
                <w:szCs w:val="21"/>
              </w:rPr>
            </w:pPr>
          </w:p>
        </w:tc>
      </w:tr>
    </w:tbl>
    <w:p w14:paraId="212ADA3F">
      <w:pPr>
        <w:pStyle w:val="15"/>
        <w:rPr>
          <w:color w:val="FF0000"/>
        </w:rPr>
      </w:pPr>
    </w:p>
    <w:p w14:paraId="320CD2B9">
      <w:pPr>
        <w:spacing w:line="360" w:lineRule="auto"/>
        <w:jc w:val="center"/>
        <w:outlineLvl w:val="0"/>
        <w:rPr>
          <w:rStyle w:val="48"/>
          <w:rFonts w:ascii="黑体" w:hAnsi="黑体" w:eastAsia="黑体" w:cs="黑体"/>
          <w:color w:val="auto"/>
          <w:szCs w:val="32"/>
          <w:u w:val="none"/>
        </w:rPr>
      </w:pPr>
      <w:bookmarkStart w:id="161" w:name="_Toc30398"/>
      <w:r>
        <w:rPr>
          <w:rStyle w:val="48"/>
          <w:rFonts w:hint="eastAsia" w:ascii="黑体" w:hAnsi="黑体" w:eastAsia="黑体" w:cs="黑体"/>
          <w:color w:val="auto"/>
          <w:szCs w:val="32"/>
          <w:u w:val="none"/>
        </w:rPr>
        <w:t>四、矿产资源开采与综合利用</w:t>
      </w:r>
      <w:bookmarkEnd w:id="151"/>
      <w:bookmarkEnd w:id="152"/>
      <w:bookmarkEnd w:id="153"/>
      <w:bookmarkEnd w:id="154"/>
      <w:bookmarkEnd w:id="161"/>
    </w:p>
    <w:p w14:paraId="3149CE89">
      <w:pPr>
        <w:pStyle w:val="78"/>
        <w:spacing w:line="360" w:lineRule="auto"/>
        <w:ind w:firstLine="602" w:firstLineChars="200"/>
        <w:rPr>
          <w:rFonts w:ascii="宋体"/>
          <w:szCs w:val="30"/>
        </w:rPr>
      </w:pPr>
      <w:bookmarkStart w:id="162" w:name="_Toc181797718"/>
      <w:bookmarkStart w:id="163" w:name="_Toc2091"/>
      <w:bookmarkStart w:id="164" w:name="_Toc9578"/>
      <w:bookmarkStart w:id="165" w:name="_Toc13658"/>
      <w:bookmarkStart w:id="166" w:name="_Toc167307749"/>
      <w:r>
        <w:rPr>
          <w:rFonts w:hint="eastAsia" w:ascii="宋体"/>
          <w:szCs w:val="30"/>
        </w:rPr>
        <w:t>（一）开采矿种</w:t>
      </w:r>
      <w:bookmarkEnd w:id="162"/>
      <w:bookmarkEnd w:id="163"/>
      <w:bookmarkEnd w:id="164"/>
      <w:bookmarkEnd w:id="165"/>
      <w:bookmarkEnd w:id="166"/>
    </w:p>
    <w:p w14:paraId="4B24FDC5">
      <w:pPr>
        <w:spacing w:line="360" w:lineRule="auto"/>
        <w:ind w:firstLine="561"/>
        <w:rPr>
          <w:rFonts w:ascii="宋体" w:hAnsi="宋体" w:cs="宋体"/>
          <w:spacing w:val="2"/>
          <w:sz w:val="28"/>
          <w:szCs w:val="28"/>
        </w:rPr>
      </w:pPr>
      <w:bookmarkStart w:id="167" w:name="_Toc169663973"/>
      <w:bookmarkStart w:id="168" w:name="_Toc353363622"/>
      <w:bookmarkStart w:id="169" w:name="_Toc376935648"/>
      <w:bookmarkStart w:id="170" w:name="_Toc375084877"/>
      <w:bookmarkStart w:id="171" w:name="_Toc352745421"/>
      <w:bookmarkStart w:id="172" w:name="_Toc352739997"/>
      <w:bookmarkStart w:id="173" w:name="_Toc349569414"/>
      <w:bookmarkStart w:id="174" w:name="_Toc352745420"/>
      <w:bookmarkStart w:id="175" w:name="_Toc340567646"/>
      <w:bookmarkStart w:id="176" w:name="_Toc373309245"/>
      <w:bookmarkStart w:id="177" w:name="_Toc353363621"/>
      <w:bookmarkStart w:id="178" w:name="_Toc340567587"/>
      <w:bookmarkStart w:id="179" w:name="_Toc373318814"/>
      <w:bookmarkStart w:id="180" w:name="_Toc372023896"/>
      <w:bookmarkStart w:id="181" w:name="_Toc267414433"/>
      <w:r>
        <w:rPr>
          <w:rFonts w:ascii="宋体" w:hAnsi="宋体" w:cs="宋体"/>
          <w:spacing w:val="2"/>
          <w:sz w:val="28"/>
          <w:szCs w:val="28"/>
        </w:rPr>
        <w:t>根据经评审备案的《</w:t>
      </w:r>
      <w:r>
        <w:rPr>
          <w:rFonts w:hint="eastAsia" w:ascii="宋体" w:hAnsi="宋体" w:cs="宋体"/>
          <w:spacing w:val="2"/>
          <w:sz w:val="28"/>
          <w:szCs w:val="28"/>
        </w:rPr>
        <w:t>辽宁省铁岭县李千户镇金家沟村建筑用白云岩矿详查</w:t>
      </w:r>
      <w:r>
        <w:rPr>
          <w:rFonts w:ascii="宋体" w:hAnsi="宋体" w:cs="宋体"/>
          <w:spacing w:val="2"/>
          <w:sz w:val="28"/>
          <w:szCs w:val="28"/>
        </w:rPr>
        <w:t>报告》，</w:t>
      </w:r>
      <w:r>
        <w:rPr>
          <w:rFonts w:hint="eastAsia" w:ascii="宋体" w:hAnsi="宋体" w:cs="宋体"/>
          <w:spacing w:val="2"/>
          <w:sz w:val="28"/>
          <w:szCs w:val="28"/>
        </w:rPr>
        <w:t>区内提交了一条</w:t>
      </w:r>
      <w:r>
        <w:rPr>
          <w:rFonts w:hint="eastAsia" w:ascii="宋体" w:hAnsi="宋体" w:cs="宋体"/>
          <w:sz w:val="28"/>
          <w:szCs w:val="28"/>
        </w:rPr>
        <w:t>白云岩矿体和一条石英砂岩矿体</w:t>
      </w:r>
      <w:r>
        <w:rPr>
          <w:rFonts w:hint="eastAsia" w:ascii="宋体" w:hAnsi="宋体" w:cs="宋体"/>
          <w:spacing w:val="2"/>
          <w:sz w:val="28"/>
          <w:szCs w:val="28"/>
        </w:rPr>
        <w:t>。经对其进行建筑用碎石指标检测，加工后的产品质量满足建筑碎石工业指标要求。</w:t>
      </w:r>
    </w:p>
    <w:p w14:paraId="4AC65739">
      <w:pPr>
        <w:spacing w:line="360" w:lineRule="auto"/>
        <w:ind w:firstLine="561"/>
        <w:rPr>
          <w:rFonts w:ascii="宋体" w:hAnsi="宋体" w:cs="宋体"/>
          <w:spacing w:val="2"/>
          <w:sz w:val="28"/>
          <w:szCs w:val="28"/>
        </w:rPr>
      </w:pPr>
      <w:r>
        <w:rPr>
          <w:rFonts w:ascii="宋体" w:hAnsi="宋体" w:cs="宋体"/>
          <w:spacing w:val="2"/>
          <w:sz w:val="28"/>
          <w:szCs w:val="28"/>
        </w:rPr>
        <w:t>本方案确定开采矿种为</w:t>
      </w:r>
      <w:r>
        <w:rPr>
          <w:rFonts w:hint="eastAsia" w:ascii="宋体" w:hAnsi="宋体" w:cs="宋体"/>
          <w:spacing w:val="2"/>
          <w:sz w:val="28"/>
          <w:szCs w:val="28"/>
        </w:rPr>
        <w:t>建筑</w:t>
      </w:r>
      <w:r>
        <w:rPr>
          <w:rFonts w:ascii="宋体" w:hAnsi="宋体" w:cs="宋体"/>
          <w:spacing w:val="2"/>
          <w:sz w:val="28"/>
          <w:szCs w:val="28"/>
        </w:rPr>
        <w:t>用白云岩</w:t>
      </w:r>
      <w:r>
        <w:rPr>
          <w:rFonts w:hint="eastAsia" w:ascii="宋体" w:hAnsi="宋体" w:cs="宋体"/>
          <w:spacing w:val="2"/>
          <w:sz w:val="28"/>
          <w:szCs w:val="28"/>
        </w:rPr>
        <w:t>、</w:t>
      </w:r>
      <w:r>
        <w:rPr>
          <w:rFonts w:ascii="宋体" w:hAnsi="宋体" w:cs="宋体"/>
          <w:spacing w:val="2"/>
          <w:sz w:val="28"/>
          <w:szCs w:val="28"/>
        </w:rPr>
        <w:t>石英砂岩，自然类型为</w:t>
      </w:r>
      <w:r>
        <w:rPr>
          <w:rFonts w:hint="eastAsia" w:ascii="宋体" w:hAnsi="宋体" w:cs="宋体"/>
          <w:spacing w:val="2"/>
          <w:sz w:val="28"/>
          <w:szCs w:val="28"/>
        </w:rPr>
        <w:t>沉积岩型</w:t>
      </w:r>
      <w:r>
        <w:rPr>
          <w:rFonts w:ascii="宋体" w:hAnsi="宋体" w:cs="宋体"/>
          <w:spacing w:val="2"/>
          <w:sz w:val="28"/>
          <w:szCs w:val="28"/>
        </w:rPr>
        <w:t>矿体。</w:t>
      </w:r>
    </w:p>
    <w:p w14:paraId="3CA24847">
      <w:pPr>
        <w:pStyle w:val="5"/>
        <w:spacing w:line="360" w:lineRule="auto"/>
        <w:ind w:firstLine="542" w:firstLineChars="200"/>
        <w:rPr>
          <w:rFonts w:ascii="宋体" w:hAnsi="宋体" w:cs="宋体"/>
          <w:spacing w:val="-5"/>
          <w:sz w:val="28"/>
          <w:szCs w:val="28"/>
        </w:rPr>
      </w:pPr>
      <w:r>
        <w:rPr>
          <w:rFonts w:hint="eastAsia" w:ascii="宋体" w:hAnsi="宋体" w:cs="宋体"/>
          <w:spacing w:val="-5"/>
          <w:sz w:val="28"/>
          <w:szCs w:val="28"/>
        </w:rPr>
        <w:t>1、市场及价格预测</w:t>
      </w:r>
    </w:p>
    <w:p w14:paraId="4634BFF9">
      <w:pPr>
        <w:spacing w:line="360" w:lineRule="auto"/>
        <w:ind w:firstLine="561"/>
        <w:rPr>
          <w:rFonts w:ascii="宋体" w:hAnsi="宋体" w:cs="宋体"/>
          <w:spacing w:val="2"/>
          <w:sz w:val="28"/>
          <w:szCs w:val="28"/>
        </w:rPr>
      </w:pPr>
      <w:r>
        <w:rPr>
          <w:rFonts w:hint="eastAsia" w:ascii="宋体" w:hAnsi="宋体" w:cs="宋体"/>
          <w:spacing w:val="2"/>
          <w:sz w:val="28"/>
          <w:szCs w:val="28"/>
        </w:rPr>
        <w:t>近年来，随着环沈阳经济圈建设步伐不断加快，各类基础设施建设项目如雨后春笋般涌现。在基础设施方面，城市道路改扩建、桥梁新建与维护、轨道交通建设等大规模工程持续推进。以沈阳地铁线路建设为例，多条线路同时施工，对建筑石料用于混凝土骨料、道砟等方面产生了巨大需求。另外随着城市化进程吸引大量人口流入，住宅及商业地产开发热度居高不下，建筑石料作为不可或缺的基础建材，被广泛应用于建筑结构、墙体砌筑、地面铺设等环节。据相关统计数据显示，过去五年间沈阳地区建筑石料的年需求量增长率稳步增长，市场需求呈现出强劲态势。</w:t>
      </w:r>
    </w:p>
    <w:p w14:paraId="5CE59587">
      <w:pPr>
        <w:spacing w:line="360" w:lineRule="auto"/>
        <w:ind w:firstLine="561"/>
        <w:rPr>
          <w:rFonts w:ascii="宋体" w:hAnsi="宋体" w:cs="宋体"/>
          <w:spacing w:val="2"/>
          <w:sz w:val="28"/>
          <w:szCs w:val="28"/>
        </w:rPr>
      </w:pPr>
      <w:r>
        <w:rPr>
          <w:rFonts w:hint="eastAsia" w:ascii="宋体" w:hAnsi="宋体" w:cs="宋体"/>
          <w:spacing w:val="2"/>
          <w:sz w:val="28"/>
          <w:szCs w:val="28"/>
        </w:rPr>
        <w:t>建筑石料价格受多种因素影响，呈现出一定的波动性。原材料成本方面，建筑用白云岩、砂岩销售价格一般在</w:t>
      </w:r>
      <w:r>
        <w:rPr>
          <w:rFonts w:ascii="宋体" w:hAnsi="宋体" w:cs="宋体"/>
          <w:spacing w:val="2"/>
          <w:sz w:val="28"/>
          <w:szCs w:val="28"/>
        </w:rPr>
        <w:t>50-120</w:t>
      </w:r>
      <w:r>
        <w:rPr>
          <w:rFonts w:hint="eastAsia" w:ascii="宋体" w:hAnsi="宋体" w:cs="宋体"/>
          <w:spacing w:val="2"/>
          <w:sz w:val="28"/>
          <w:szCs w:val="28"/>
        </w:rPr>
        <w:t>元/m</w:t>
      </w:r>
      <w:r>
        <w:rPr>
          <w:rFonts w:hint="eastAsia" w:ascii="宋体" w:hAnsi="宋体" w:cs="宋体"/>
          <w:spacing w:val="2"/>
          <w:sz w:val="28"/>
          <w:szCs w:val="28"/>
          <w:vertAlign w:val="superscript"/>
        </w:rPr>
        <w:t>3</w:t>
      </w:r>
      <w:r>
        <w:rPr>
          <w:rFonts w:hint="eastAsia" w:ascii="宋体" w:hAnsi="宋体" w:cs="宋体"/>
          <w:spacing w:val="2"/>
          <w:sz w:val="28"/>
          <w:szCs w:val="28"/>
        </w:rPr>
        <w:t>。矿山开采成本包含资源税、设备购置与维护、人工费用等，随着资源税调整、劳动力成本上升以及设备更新换代，开采成本不断增加，推动石料价格上行。市场供需关系对价格影响显著，当需求旺季如春季施工高峰期，市场供不应求，价格往往上涨；而在需求淡季或供应过剩时期，价格则面临下行压力。此外，宏观经济形势、政策法规变化也会间接影响价格。从长期来看，沈阳、铁岭地区建筑石料市场前景依然广阔。</w:t>
      </w:r>
    </w:p>
    <w:p w14:paraId="74A53F19">
      <w:pPr>
        <w:pStyle w:val="5"/>
        <w:spacing w:line="360" w:lineRule="auto"/>
        <w:ind w:firstLine="542" w:firstLineChars="200"/>
        <w:rPr>
          <w:rFonts w:ascii="宋体" w:hAnsi="宋体" w:cs="宋体"/>
          <w:spacing w:val="-5"/>
          <w:sz w:val="28"/>
          <w:szCs w:val="28"/>
        </w:rPr>
      </w:pPr>
      <w:r>
        <w:rPr>
          <w:rFonts w:hint="eastAsia" w:ascii="宋体" w:hAnsi="宋体" w:cs="宋体"/>
          <w:spacing w:val="-5"/>
          <w:sz w:val="28"/>
          <w:szCs w:val="28"/>
        </w:rPr>
        <w:t>2、经济评价</w:t>
      </w:r>
    </w:p>
    <w:p w14:paraId="4C1AF859">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（1）职工定员和劳动生产率</w:t>
      </w:r>
    </w:p>
    <w:p w14:paraId="29AA8018">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全矿定员人数35人，其中：管理、技术人员8人，生产工人27人。全矿全员劳动生产率</w:t>
      </w:r>
      <w:r>
        <w:rPr>
          <w:rFonts w:asciiTheme="minorEastAsia" w:hAnsiTheme="minorEastAsia" w:eastAsiaTheme="minorEastAsia"/>
          <w:sz w:val="28"/>
          <w:szCs w:val="28"/>
        </w:rPr>
        <w:t>12285.71</w:t>
      </w:r>
      <w:r>
        <w:rPr>
          <w:rFonts w:hint="eastAsia" w:asciiTheme="minorEastAsia" w:hAnsiTheme="minorEastAsia" w:eastAsiaTheme="minorEastAsia"/>
          <w:sz w:val="28"/>
          <w:szCs w:val="28"/>
        </w:rPr>
        <w:t>m</w:t>
      </w:r>
      <w:r>
        <w:rPr>
          <w:rFonts w:hint="eastAsia" w:asciiTheme="minorEastAsia" w:hAnsiTheme="minorEastAsia" w:eastAsiaTheme="minorEastAsia"/>
          <w:sz w:val="28"/>
          <w:szCs w:val="28"/>
          <w:vertAlign w:val="superscript"/>
        </w:rPr>
        <w:t>3</w:t>
      </w:r>
      <w:r>
        <w:rPr>
          <w:rFonts w:hint="eastAsia" w:asciiTheme="minorEastAsia" w:hAnsiTheme="minorEastAsia" w:eastAsiaTheme="minorEastAsia"/>
          <w:sz w:val="28"/>
          <w:szCs w:val="28"/>
        </w:rPr>
        <w:t>/人年，工人劳动生产率</w:t>
      </w:r>
      <w:r>
        <w:rPr>
          <w:rFonts w:asciiTheme="minorEastAsia" w:hAnsiTheme="minorEastAsia" w:eastAsiaTheme="minorEastAsia"/>
          <w:sz w:val="28"/>
          <w:szCs w:val="28"/>
        </w:rPr>
        <w:t>15925.9</w:t>
      </w:r>
      <w:r>
        <w:rPr>
          <w:rFonts w:hint="eastAsia" w:asciiTheme="minorEastAsia" w:hAnsiTheme="minorEastAsia" w:eastAsiaTheme="minorEastAsia"/>
          <w:sz w:val="28"/>
          <w:szCs w:val="28"/>
        </w:rPr>
        <w:t>m</w:t>
      </w:r>
      <w:r>
        <w:rPr>
          <w:rFonts w:hint="eastAsia" w:asciiTheme="minorEastAsia" w:hAnsiTheme="minorEastAsia" w:eastAsiaTheme="minorEastAsia"/>
          <w:sz w:val="28"/>
          <w:szCs w:val="28"/>
          <w:vertAlign w:val="superscript"/>
        </w:rPr>
        <w:t>3</w:t>
      </w:r>
      <w:r>
        <w:rPr>
          <w:rFonts w:hint="eastAsia" w:asciiTheme="minorEastAsia" w:hAnsiTheme="minorEastAsia" w:eastAsiaTheme="minorEastAsia"/>
          <w:sz w:val="28"/>
          <w:szCs w:val="28"/>
        </w:rPr>
        <w:t>/人年。</w:t>
      </w:r>
    </w:p>
    <w:p w14:paraId="6F8090CF">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（2）投资估算</w:t>
      </w:r>
    </w:p>
    <w:p w14:paraId="28F7471A">
      <w:pPr>
        <w:spacing w:line="360" w:lineRule="auto"/>
        <w:ind w:firstLine="561"/>
        <w:rPr>
          <w:sz w:val="28"/>
          <w:szCs w:val="28"/>
        </w:rPr>
      </w:pPr>
      <w:r>
        <w:rPr>
          <w:rFonts w:hint="eastAsia"/>
          <w:sz w:val="28"/>
          <w:szCs w:val="28"/>
        </w:rPr>
        <w:t>①建设总投资估算</w:t>
      </w:r>
    </w:p>
    <w:p w14:paraId="5839E7FD">
      <w:pPr>
        <w:spacing w:line="360" w:lineRule="auto"/>
        <w:ind w:firstLine="561"/>
        <w:rPr>
          <w:rFonts w:ascii="宋体" w:hAnsi="宋体"/>
          <w:sz w:val="28"/>
          <w:szCs w:val="28"/>
        </w:rPr>
      </w:pPr>
      <w:r>
        <w:rPr>
          <w:rFonts w:hint="eastAsia" w:ascii="宋体" w:hAnsi="宋体"/>
          <w:sz w:val="28"/>
          <w:szCs w:val="28"/>
        </w:rPr>
        <w:t>本方案矿山总投资约为997万元，其中地表盖层剥离费约865万元，设备购置费为103.5万元，其他投资费用10万元，预备费及铺地流动资金20万元。建设资金全部自筹。</w:t>
      </w:r>
      <w:r>
        <w:rPr>
          <w:rFonts w:hint="eastAsia"/>
          <w:sz w:val="28"/>
          <w:szCs w:val="28"/>
        </w:rPr>
        <w:t>露天开采新增设备见下表：</w:t>
      </w:r>
    </w:p>
    <w:p w14:paraId="571EAFDF">
      <w:pPr>
        <w:spacing w:line="360" w:lineRule="auto"/>
        <w:jc w:val="center"/>
        <w:rPr>
          <w:rFonts w:ascii="宋体" w:hAnsi="宋体" w:cs="宋体"/>
          <w:b/>
          <w:bCs/>
          <w:spacing w:val="-7"/>
          <w:szCs w:val="21"/>
        </w:rPr>
      </w:pPr>
      <w:r>
        <w:rPr>
          <w:rFonts w:hint="eastAsia" w:ascii="宋体" w:hAnsi="宋体" w:cs="宋体"/>
          <w:b/>
          <w:bCs/>
          <w:spacing w:val="-7"/>
          <w:szCs w:val="21"/>
        </w:rPr>
        <w:t>表 4-2   露天新增设备投资表</w:t>
      </w:r>
    </w:p>
    <w:tbl>
      <w:tblPr>
        <w:tblStyle w:val="42"/>
        <w:tblW w:w="454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03"/>
        <w:gridCol w:w="1841"/>
        <w:gridCol w:w="870"/>
        <w:gridCol w:w="1159"/>
        <w:gridCol w:w="1305"/>
        <w:gridCol w:w="1262"/>
      </w:tblGrid>
      <w:tr w14:paraId="5E9429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946" w:type="pct"/>
            <w:tcBorders>
              <w:top w:val="single" w:color="000000" w:sz="2" w:space="0"/>
              <w:left w:val="single" w:color="000000" w:sz="2" w:space="0"/>
            </w:tcBorders>
            <w:vAlign w:val="center"/>
          </w:tcPr>
          <w:p w14:paraId="09B133B5">
            <w:pPr>
              <w:pStyle w:val="119"/>
              <w:jc w:val="center"/>
              <w:rPr>
                <w:sz w:val="21"/>
                <w:szCs w:val="21"/>
              </w:rPr>
            </w:pPr>
            <w:r>
              <w:rPr>
                <w:rFonts w:hint="eastAsia"/>
                <w:spacing w:val="-7"/>
                <w:sz w:val="21"/>
                <w:szCs w:val="21"/>
              </w:rPr>
              <w:t>项目</w:t>
            </w:r>
          </w:p>
        </w:tc>
        <w:tc>
          <w:tcPr>
            <w:tcW w:w="1159" w:type="pct"/>
            <w:tcBorders>
              <w:top w:val="single" w:color="000000" w:sz="2" w:space="0"/>
            </w:tcBorders>
            <w:vAlign w:val="center"/>
          </w:tcPr>
          <w:p w14:paraId="7619D4E0">
            <w:pPr>
              <w:pStyle w:val="119"/>
              <w:jc w:val="center"/>
              <w:rPr>
                <w:sz w:val="21"/>
                <w:szCs w:val="21"/>
              </w:rPr>
            </w:pPr>
            <w:r>
              <w:rPr>
                <w:rFonts w:hint="eastAsia"/>
                <w:spacing w:val="-4"/>
                <w:sz w:val="21"/>
                <w:szCs w:val="21"/>
              </w:rPr>
              <w:t>设备型号</w:t>
            </w:r>
          </w:p>
        </w:tc>
        <w:tc>
          <w:tcPr>
            <w:tcW w:w="548" w:type="pct"/>
            <w:tcBorders>
              <w:top w:val="single" w:color="000000" w:sz="2" w:space="0"/>
            </w:tcBorders>
            <w:vAlign w:val="center"/>
          </w:tcPr>
          <w:p w14:paraId="796273ED">
            <w:pPr>
              <w:pStyle w:val="119"/>
              <w:jc w:val="center"/>
              <w:rPr>
                <w:sz w:val="21"/>
                <w:szCs w:val="21"/>
              </w:rPr>
            </w:pPr>
            <w:r>
              <w:rPr>
                <w:rFonts w:hint="eastAsia"/>
                <w:spacing w:val="-6"/>
                <w:sz w:val="21"/>
                <w:szCs w:val="21"/>
              </w:rPr>
              <w:t>单位</w:t>
            </w:r>
          </w:p>
        </w:tc>
        <w:tc>
          <w:tcPr>
            <w:tcW w:w="730" w:type="pct"/>
            <w:tcBorders>
              <w:top w:val="single" w:color="000000" w:sz="2" w:space="0"/>
            </w:tcBorders>
            <w:vAlign w:val="center"/>
          </w:tcPr>
          <w:p w14:paraId="2FA5600E">
            <w:pPr>
              <w:pStyle w:val="119"/>
              <w:jc w:val="center"/>
              <w:rPr>
                <w:sz w:val="21"/>
                <w:szCs w:val="21"/>
                <w:lang w:eastAsia="zh-CN"/>
              </w:rPr>
            </w:pPr>
            <w:r>
              <w:rPr>
                <w:rFonts w:hint="eastAsia"/>
                <w:spacing w:val="-6"/>
                <w:sz w:val="21"/>
                <w:szCs w:val="21"/>
              </w:rPr>
              <w:t>单价</w:t>
            </w:r>
            <w:r>
              <w:rPr>
                <w:rFonts w:hint="eastAsia"/>
                <w:spacing w:val="-6"/>
                <w:sz w:val="21"/>
                <w:szCs w:val="21"/>
                <w:lang w:eastAsia="zh-CN"/>
              </w:rPr>
              <w:t>/万元</w:t>
            </w:r>
          </w:p>
        </w:tc>
        <w:tc>
          <w:tcPr>
            <w:tcW w:w="822" w:type="pct"/>
            <w:tcBorders>
              <w:top w:val="single" w:color="000000" w:sz="2" w:space="0"/>
            </w:tcBorders>
            <w:vAlign w:val="center"/>
          </w:tcPr>
          <w:p w14:paraId="55AAA669">
            <w:pPr>
              <w:pStyle w:val="119"/>
              <w:jc w:val="center"/>
              <w:rPr>
                <w:sz w:val="21"/>
                <w:szCs w:val="21"/>
                <w:lang w:eastAsia="zh-CN"/>
              </w:rPr>
            </w:pPr>
            <w:r>
              <w:rPr>
                <w:rFonts w:hint="eastAsia"/>
                <w:spacing w:val="-6"/>
                <w:sz w:val="21"/>
                <w:szCs w:val="21"/>
              </w:rPr>
              <w:t>金额</w:t>
            </w:r>
            <w:r>
              <w:rPr>
                <w:rFonts w:hint="eastAsia"/>
                <w:sz w:val="21"/>
                <w:szCs w:val="21"/>
                <w:lang w:eastAsia="zh-CN"/>
              </w:rPr>
              <w:t>/</w:t>
            </w:r>
            <w:r>
              <w:rPr>
                <w:rFonts w:hint="eastAsia"/>
                <w:spacing w:val="-6"/>
                <w:sz w:val="21"/>
                <w:szCs w:val="21"/>
              </w:rPr>
              <w:t>万元</w:t>
            </w:r>
          </w:p>
        </w:tc>
        <w:tc>
          <w:tcPr>
            <w:tcW w:w="796" w:type="pct"/>
            <w:tcBorders>
              <w:top w:val="single" w:color="000000" w:sz="2" w:space="0"/>
              <w:right w:val="single" w:color="000000" w:sz="2" w:space="0"/>
            </w:tcBorders>
            <w:vAlign w:val="center"/>
          </w:tcPr>
          <w:p w14:paraId="1AC24A34">
            <w:pPr>
              <w:pStyle w:val="119"/>
              <w:jc w:val="center"/>
              <w:rPr>
                <w:sz w:val="21"/>
                <w:szCs w:val="21"/>
              </w:rPr>
            </w:pPr>
            <w:r>
              <w:rPr>
                <w:rFonts w:hint="eastAsia"/>
                <w:spacing w:val="-7"/>
                <w:sz w:val="21"/>
                <w:szCs w:val="21"/>
              </w:rPr>
              <w:t>备注</w:t>
            </w:r>
          </w:p>
        </w:tc>
      </w:tr>
      <w:tr w14:paraId="2FF49B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946" w:type="pct"/>
            <w:tcBorders>
              <w:left w:val="single" w:color="000000" w:sz="2" w:space="0"/>
            </w:tcBorders>
            <w:vAlign w:val="center"/>
          </w:tcPr>
          <w:p w14:paraId="29278143">
            <w:pPr>
              <w:pStyle w:val="119"/>
              <w:spacing w:line="276" w:lineRule="auto"/>
              <w:jc w:val="center"/>
              <w:rPr>
                <w:sz w:val="21"/>
                <w:szCs w:val="21"/>
              </w:rPr>
            </w:pPr>
            <w:r>
              <w:rPr>
                <w:rFonts w:hint="eastAsia"/>
                <w:spacing w:val="-3"/>
                <w:sz w:val="21"/>
                <w:szCs w:val="21"/>
              </w:rPr>
              <w:t>采装设备</w:t>
            </w:r>
          </w:p>
        </w:tc>
        <w:tc>
          <w:tcPr>
            <w:tcW w:w="1159" w:type="pct"/>
            <w:vAlign w:val="center"/>
          </w:tcPr>
          <w:p w14:paraId="18CDBB31">
            <w:pPr>
              <w:pStyle w:val="119"/>
              <w:spacing w:line="276" w:lineRule="auto"/>
              <w:jc w:val="center"/>
              <w:rPr>
                <w:sz w:val="21"/>
                <w:szCs w:val="21"/>
              </w:rPr>
            </w:pPr>
            <w:r>
              <w:rPr>
                <w:rFonts w:hint="eastAsia"/>
                <w:spacing w:val="-3"/>
                <w:sz w:val="21"/>
                <w:szCs w:val="21"/>
              </w:rPr>
              <w:t>挖掘机</w:t>
            </w:r>
          </w:p>
        </w:tc>
        <w:tc>
          <w:tcPr>
            <w:tcW w:w="548" w:type="pct"/>
            <w:vAlign w:val="center"/>
          </w:tcPr>
          <w:p w14:paraId="211252BD">
            <w:pPr>
              <w:pStyle w:val="119"/>
              <w:spacing w:line="276" w:lineRule="auto"/>
              <w:jc w:val="center"/>
              <w:rPr>
                <w:sz w:val="21"/>
                <w:szCs w:val="21"/>
              </w:rPr>
            </w:pPr>
            <w:r>
              <w:rPr>
                <w:rFonts w:hint="eastAsia"/>
                <w:sz w:val="21"/>
                <w:szCs w:val="21"/>
                <w:lang w:eastAsia="zh-CN"/>
              </w:rPr>
              <w:t>2</w:t>
            </w:r>
            <w:r>
              <w:rPr>
                <w:rFonts w:hint="eastAsia"/>
                <w:sz w:val="21"/>
                <w:szCs w:val="21"/>
              </w:rPr>
              <w:t>台</w:t>
            </w:r>
          </w:p>
        </w:tc>
        <w:tc>
          <w:tcPr>
            <w:tcW w:w="730" w:type="pct"/>
            <w:vAlign w:val="center"/>
          </w:tcPr>
          <w:p w14:paraId="76893E6F">
            <w:pPr>
              <w:pStyle w:val="119"/>
              <w:spacing w:line="276" w:lineRule="auto"/>
              <w:jc w:val="center"/>
              <w:rPr>
                <w:sz w:val="21"/>
                <w:szCs w:val="21"/>
                <w:lang w:eastAsia="zh-CN"/>
              </w:rPr>
            </w:pPr>
            <w:r>
              <w:rPr>
                <w:rFonts w:hint="eastAsia"/>
                <w:spacing w:val="-8"/>
                <w:sz w:val="21"/>
                <w:szCs w:val="21"/>
                <w:lang w:eastAsia="zh-CN"/>
              </w:rPr>
              <w:t>33</w:t>
            </w:r>
          </w:p>
        </w:tc>
        <w:tc>
          <w:tcPr>
            <w:tcW w:w="822" w:type="pct"/>
            <w:vAlign w:val="center"/>
          </w:tcPr>
          <w:p w14:paraId="38214AE2">
            <w:pPr>
              <w:pStyle w:val="119"/>
              <w:spacing w:line="276" w:lineRule="auto"/>
              <w:jc w:val="center"/>
              <w:rPr>
                <w:sz w:val="21"/>
                <w:szCs w:val="21"/>
                <w:lang w:eastAsia="zh-CN"/>
              </w:rPr>
            </w:pPr>
            <w:r>
              <w:rPr>
                <w:rFonts w:hint="eastAsia"/>
                <w:spacing w:val="-10"/>
                <w:sz w:val="21"/>
                <w:szCs w:val="21"/>
                <w:lang w:eastAsia="zh-CN"/>
              </w:rPr>
              <w:t>66</w:t>
            </w:r>
          </w:p>
        </w:tc>
        <w:tc>
          <w:tcPr>
            <w:tcW w:w="796" w:type="pct"/>
            <w:tcBorders>
              <w:right w:val="single" w:color="000000" w:sz="2" w:space="0"/>
            </w:tcBorders>
            <w:vAlign w:val="center"/>
          </w:tcPr>
          <w:p w14:paraId="47273623">
            <w:pPr>
              <w:pStyle w:val="119"/>
              <w:spacing w:line="276" w:lineRule="auto"/>
              <w:jc w:val="center"/>
              <w:rPr>
                <w:sz w:val="21"/>
                <w:szCs w:val="21"/>
              </w:rPr>
            </w:pPr>
            <w:r>
              <w:rPr>
                <w:sz w:val="21"/>
                <w:szCs w:val="21"/>
              </w:rPr>
              <w:t>二手</w:t>
            </w:r>
          </w:p>
        </w:tc>
      </w:tr>
      <w:tr w14:paraId="1F2372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946" w:type="pct"/>
            <w:tcBorders>
              <w:left w:val="single" w:color="000000" w:sz="2" w:space="0"/>
            </w:tcBorders>
            <w:vAlign w:val="center"/>
          </w:tcPr>
          <w:p w14:paraId="20222F2D">
            <w:pPr>
              <w:pStyle w:val="119"/>
              <w:spacing w:line="276" w:lineRule="auto"/>
              <w:jc w:val="center"/>
              <w:rPr>
                <w:sz w:val="21"/>
                <w:szCs w:val="21"/>
              </w:rPr>
            </w:pPr>
            <w:r>
              <w:rPr>
                <w:rFonts w:hint="eastAsia"/>
                <w:spacing w:val="-3"/>
                <w:sz w:val="21"/>
                <w:szCs w:val="21"/>
              </w:rPr>
              <w:t>运输设备</w:t>
            </w:r>
          </w:p>
        </w:tc>
        <w:tc>
          <w:tcPr>
            <w:tcW w:w="1159" w:type="pct"/>
            <w:vAlign w:val="center"/>
          </w:tcPr>
          <w:p w14:paraId="3926F701">
            <w:pPr>
              <w:pStyle w:val="119"/>
              <w:spacing w:line="276" w:lineRule="auto"/>
              <w:jc w:val="center"/>
              <w:rPr>
                <w:sz w:val="21"/>
                <w:szCs w:val="21"/>
              </w:rPr>
            </w:pPr>
            <w:r>
              <w:rPr>
                <w:rFonts w:hint="eastAsia"/>
                <w:spacing w:val="-13"/>
                <w:sz w:val="21"/>
                <w:szCs w:val="21"/>
              </w:rPr>
              <w:t>自卸汽车</w:t>
            </w:r>
          </w:p>
        </w:tc>
        <w:tc>
          <w:tcPr>
            <w:tcW w:w="548" w:type="pct"/>
            <w:vAlign w:val="center"/>
          </w:tcPr>
          <w:p w14:paraId="0A23792C">
            <w:pPr>
              <w:pStyle w:val="119"/>
              <w:spacing w:line="276" w:lineRule="auto"/>
              <w:jc w:val="center"/>
              <w:rPr>
                <w:sz w:val="21"/>
                <w:szCs w:val="21"/>
              </w:rPr>
            </w:pPr>
            <w:r>
              <w:rPr>
                <w:rFonts w:hint="eastAsia"/>
                <w:sz w:val="21"/>
                <w:szCs w:val="21"/>
                <w:lang w:eastAsia="zh-CN"/>
              </w:rPr>
              <w:t>2</w:t>
            </w:r>
            <w:r>
              <w:rPr>
                <w:rFonts w:hint="eastAsia"/>
                <w:sz w:val="21"/>
                <w:szCs w:val="21"/>
              </w:rPr>
              <w:t>辆</w:t>
            </w:r>
          </w:p>
        </w:tc>
        <w:tc>
          <w:tcPr>
            <w:tcW w:w="730" w:type="pct"/>
            <w:vAlign w:val="center"/>
          </w:tcPr>
          <w:p w14:paraId="60078A32">
            <w:pPr>
              <w:spacing w:line="276" w:lineRule="auto"/>
              <w:jc w:val="center"/>
              <w:rPr>
                <w:rFonts w:ascii="宋体" w:hAnsi="宋体" w:cs="宋体"/>
                <w:szCs w:val="21"/>
              </w:rPr>
            </w:pPr>
            <w:r>
              <w:rPr>
                <w:rFonts w:hint="eastAsia" w:ascii="宋体" w:hAnsi="宋体" w:cs="宋体"/>
                <w:szCs w:val="21"/>
              </w:rPr>
              <w:t>15</w:t>
            </w:r>
          </w:p>
        </w:tc>
        <w:tc>
          <w:tcPr>
            <w:tcW w:w="822" w:type="pct"/>
            <w:vAlign w:val="center"/>
          </w:tcPr>
          <w:p w14:paraId="5A28F542">
            <w:pPr>
              <w:spacing w:line="276" w:lineRule="auto"/>
              <w:jc w:val="center"/>
              <w:rPr>
                <w:rFonts w:ascii="宋体" w:hAnsi="宋体" w:cs="宋体"/>
                <w:szCs w:val="21"/>
              </w:rPr>
            </w:pPr>
            <w:r>
              <w:rPr>
                <w:rFonts w:hint="eastAsia" w:ascii="宋体" w:hAnsi="宋体" w:cs="宋体"/>
                <w:szCs w:val="21"/>
              </w:rPr>
              <w:t>30</w:t>
            </w:r>
          </w:p>
        </w:tc>
        <w:tc>
          <w:tcPr>
            <w:tcW w:w="796" w:type="pct"/>
            <w:tcBorders>
              <w:right w:val="single" w:color="000000" w:sz="2" w:space="0"/>
            </w:tcBorders>
            <w:vAlign w:val="center"/>
          </w:tcPr>
          <w:p w14:paraId="2EC4A234">
            <w:pPr>
              <w:pStyle w:val="119"/>
              <w:spacing w:line="276" w:lineRule="auto"/>
              <w:jc w:val="center"/>
              <w:rPr>
                <w:sz w:val="21"/>
                <w:szCs w:val="21"/>
                <w:lang w:eastAsia="zh-CN"/>
              </w:rPr>
            </w:pPr>
            <w:r>
              <w:rPr>
                <w:rFonts w:hint="eastAsia"/>
                <w:sz w:val="21"/>
                <w:szCs w:val="21"/>
                <w:lang w:eastAsia="zh-CN"/>
              </w:rPr>
              <w:t>8成新</w:t>
            </w:r>
            <w:r>
              <w:rPr>
                <w:sz w:val="21"/>
                <w:szCs w:val="21"/>
              </w:rPr>
              <w:t>二手</w:t>
            </w:r>
          </w:p>
        </w:tc>
      </w:tr>
      <w:tr w14:paraId="1C18B8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946" w:type="pct"/>
            <w:tcBorders>
              <w:top w:val="nil"/>
              <w:left w:val="single" w:color="000000" w:sz="2" w:space="0"/>
            </w:tcBorders>
            <w:vAlign w:val="center"/>
          </w:tcPr>
          <w:p w14:paraId="7FCA169B">
            <w:pPr>
              <w:spacing w:line="276" w:lineRule="auto"/>
              <w:jc w:val="center"/>
              <w:rPr>
                <w:rFonts w:ascii="宋体" w:hAnsi="宋体" w:cs="宋体"/>
                <w:szCs w:val="21"/>
              </w:rPr>
            </w:pPr>
            <w:r>
              <w:rPr>
                <w:rFonts w:ascii="宋体" w:hAnsi="宋体" w:cs="宋体"/>
                <w:szCs w:val="21"/>
              </w:rPr>
              <w:t>辅助设备</w:t>
            </w:r>
          </w:p>
        </w:tc>
        <w:tc>
          <w:tcPr>
            <w:tcW w:w="1159" w:type="pct"/>
            <w:vAlign w:val="center"/>
          </w:tcPr>
          <w:p w14:paraId="501FBBBE">
            <w:pPr>
              <w:pStyle w:val="119"/>
              <w:spacing w:line="276" w:lineRule="auto"/>
              <w:jc w:val="center"/>
              <w:rPr>
                <w:sz w:val="21"/>
                <w:szCs w:val="21"/>
              </w:rPr>
            </w:pPr>
            <w:r>
              <w:rPr>
                <w:rFonts w:hint="eastAsia"/>
                <w:spacing w:val="-5"/>
                <w:sz w:val="21"/>
                <w:szCs w:val="21"/>
              </w:rPr>
              <w:t>洒水车</w:t>
            </w:r>
          </w:p>
        </w:tc>
        <w:tc>
          <w:tcPr>
            <w:tcW w:w="548" w:type="pct"/>
            <w:vAlign w:val="center"/>
          </w:tcPr>
          <w:p w14:paraId="7A6B4B77">
            <w:pPr>
              <w:pStyle w:val="119"/>
              <w:spacing w:line="276" w:lineRule="auto"/>
              <w:jc w:val="center"/>
              <w:rPr>
                <w:sz w:val="21"/>
                <w:szCs w:val="21"/>
              </w:rPr>
            </w:pPr>
            <w:r>
              <w:rPr>
                <w:rFonts w:hint="eastAsia"/>
                <w:sz w:val="21"/>
                <w:szCs w:val="21"/>
                <w:lang w:eastAsia="zh-CN"/>
              </w:rPr>
              <w:t>1</w:t>
            </w:r>
            <w:r>
              <w:rPr>
                <w:rFonts w:hint="eastAsia"/>
                <w:sz w:val="21"/>
                <w:szCs w:val="21"/>
              </w:rPr>
              <w:t>辆</w:t>
            </w:r>
          </w:p>
        </w:tc>
        <w:tc>
          <w:tcPr>
            <w:tcW w:w="730" w:type="pct"/>
            <w:vAlign w:val="center"/>
          </w:tcPr>
          <w:p w14:paraId="4ABABE32">
            <w:pPr>
              <w:pStyle w:val="119"/>
              <w:spacing w:line="276" w:lineRule="auto"/>
              <w:jc w:val="center"/>
              <w:rPr>
                <w:sz w:val="21"/>
                <w:szCs w:val="21"/>
                <w:lang w:eastAsia="zh-CN"/>
              </w:rPr>
            </w:pPr>
            <w:r>
              <w:rPr>
                <w:rFonts w:hint="eastAsia"/>
                <w:spacing w:val="-7"/>
                <w:sz w:val="21"/>
                <w:szCs w:val="21"/>
                <w:lang w:eastAsia="zh-CN"/>
              </w:rPr>
              <w:t>6</w:t>
            </w:r>
          </w:p>
        </w:tc>
        <w:tc>
          <w:tcPr>
            <w:tcW w:w="822" w:type="pct"/>
            <w:vAlign w:val="center"/>
          </w:tcPr>
          <w:p w14:paraId="24810369">
            <w:pPr>
              <w:pStyle w:val="119"/>
              <w:spacing w:line="276" w:lineRule="auto"/>
              <w:jc w:val="center"/>
              <w:rPr>
                <w:sz w:val="21"/>
                <w:szCs w:val="21"/>
                <w:lang w:eastAsia="zh-CN"/>
              </w:rPr>
            </w:pPr>
            <w:r>
              <w:rPr>
                <w:rFonts w:hint="eastAsia"/>
                <w:spacing w:val="-7"/>
                <w:sz w:val="21"/>
                <w:szCs w:val="21"/>
                <w:lang w:eastAsia="zh-CN"/>
              </w:rPr>
              <w:t>6</w:t>
            </w:r>
          </w:p>
        </w:tc>
        <w:tc>
          <w:tcPr>
            <w:tcW w:w="796" w:type="pct"/>
            <w:tcBorders>
              <w:right w:val="single" w:color="000000" w:sz="2" w:space="0"/>
            </w:tcBorders>
            <w:vAlign w:val="center"/>
          </w:tcPr>
          <w:p w14:paraId="524147A4">
            <w:pPr>
              <w:pStyle w:val="119"/>
              <w:spacing w:line="276" w:lineRule="auto"/>
              <w:jc w:val="center"/>
              <w:rPr>
                <w:sz w:val="21"/>
                <w:szCs w:val="21"/>
              </w:rPr>
            </w:pPr>
            <w:r>
              <w:rPr>
                <w:sz w:val="21"/>
                <w:szCs w:val="21"/>
              </w:rPr>
              <w:t>二手</w:t>
            </w:r>
          </w:p>
        </w:tc>
      </w:tr>
      <w:tr w14:paraId="3C18F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946" w:type="pct"/>
            <w:tcBorders>
              <w:left w:val="single" w:color="000000" w:sz="2" w:space="0"/>
            </w:tcBorders>
            <w:vAlign w:val="center"/>
          </w:tcPr>
          <w:p w14:paraId="0E3F5C92">
            <w:pPr>
              <w:pStyle w:val="119"/>
              <w:spacing w:line="276" w:lineRule="auto"/>
              <w:jc w:val="center"/>
              <w:rPr>
                <w:sz w:val="21"/>
                <w:szCs w:val="21"/>
              </w:rPr>
            </w:pPr>
            <w:r>
              <w:rPr>
                <w:rFonts w:hint="eastAsia"/>
                <w:spacing w:val="-3"/>
                <w:sz w:val="21"/>
                <w:szCs w:val="21"/>
              </w:rPr>
              <w:t>排水设备</w:t>
            </w:r>
          </w:p>
        </w:tc>
        <w:tc>
          <w:tcPr>
            <w:tcW w:w="1159" w:type="pct"/>
            <w:vAlign w:val="center"/>
          </w:tcPr>
          <w:p w14:paraId="00EBD465">
            <w:pPr>
              <w:pStyle w:val="119"/>
              <w:spacing w:line="276" w:lineRule="auto"/>
              <w:jc w:val="center"/>
              <w:rPr>
                <w:sz w:val="21"/>
                <w:szCs w:val="21"/>
              </w:rPr>
            </w:pPr>
            <w:r>
              <w:rPr>
                <w:rFonts w:hint="eastAsia"/>
                <w:spacing w:val="-7"/>
                <w:sz w:val="21"/>
                <w:szCs w:val="21"/>
              </w:rPr>
              <w:t>水泵</w:t>
            </w:r>
          </w:p>
        </w:tc>
        <w:tc>
          <w:tcPr>
            <w:tcW w:w="548" w:type="pct"/>
            <w:vAlign w:val="center"/>
          </w:tcPr>
          <w:p w14:paraId="2ADA5135">
            <w:pPr>
              <w:pStyle w:val="119"/>
              <w:spacing w:line="276" w:lineRule="auto"/>
              <w:jc w:val="center"/>
              <w:rPr>
                <w:sz w:val="21"/>
                <w:szCs w:val="21"/>
              </w:rPr>
            </w:pPr>
            <w:r>
              <w:rPr>
                <w:rFonts w:hint="eastAsia"/>
                <w:sz w:val="21"/>
                <w:szCs w:val="21"/>
                <w:lang w:eastAsia="zh-CN"/>
              </w:rPr>
              <w:t>1</w:t>
            </w:r>
            <w:r>
              <w:rPr>
                <w:rFonts w:hint="eastAsia"/>
                <w:sz w:val="21"/>
                <w:szCs w:val="21"/>
              </w:rPr>
              <w:t>台</w:t>
            </w:r>
          </w:p>
        </w:tc>
        <w:tc>
          <w:tcPr>
            <w:tcW w:w="730" w:type="pct"/>
            <w:vAlign w:val="center"/>
          </w:tcPr>
          <w:p w14:paraId="3F8A6950">
            <w:pPr>
              <w:pStyle w:val="119"/>
              <w:spacing w:line="276" w:lineRule="auto"/>
              <w:jc w:val="center"/>
              <w:rPr>
                <w:sz w:val="21"/>
                <w:szCs w:val="21"/>
                <w:lang w:eastAsia="zh-CN"/>
              </w:rPr>
            </w:pPr>
            <w:r>
              <w:rPr>
                <w:rFonts w:hint="eastAsia"/>
                <w:sz w:val="21"/>
                <w:szCs w:val="21"/>
                <w:lang w:eastAsia="zh-CN"/>
              </w:rPr>
              <w:t>1.5</w:t>
            </w:r>
          </w:p>
        </w:tc>
        <w:tc>
          <w:tcPr>
            <w:tcW w:w="822" w:type="pct"/>
            <w:vAlign w:val="center"/>
          </w:tcPr>
          <w:p w14:paraId="72478733">
            <w:pPr>
              <w:pStyle w:val="119"/>
              <w:spacing w:line="276" w:lineRule="auto"/>
              <w:jc w:val="center"/>
              <w:rPr>
                <w:sz w:val="21"/>
                <w:szCs w:val="21"/>
                <w:lang w:eastAsia="zh-CN"/>
              </w:rPr>
            </w:pPr>
            <w:r>
              <w:rPr>
                <w:rFonts w:hint="eastAsia"/>
                <w:spacing w:val="-14"/>
                <w:sz w:val="21"/>
                <w:szCs w:val="21"/>
                <w:lang w:eastAsia="zh-CN"/>
              </w:rPr>
              <w:t>1.5</w:t>
            </w:r>
          </w:p>
        </w:tc>
        <w:tc>
          <w:tcPr>
            <w:tcW w:w="796" w:type="pct"/>
            <w:tcBorders>
              <w:right w:val="single" w:color="000000" w:sz="2" w:space="0"/>
            </w:tcBorders>
            <w:vAlign w:val="center"/>
          </w:tcPr>
          <w:p w14:paraId="051BC6BB">
            <w:pPr>
              <w:pStyle w:val="119"/>
              <w:spacing w:line="276" w:lineRule="auto"/>
              <w:jc w:val="center"/>
              <w:rPr>
                <w:sz w:val="21"/>
                <w:szCs w:val="21"/>
              </w:rPr>
            </w:pPr>
          </w:p>
        </w:tc>
      </w:tr>
      <w:tr w14:paraId="5E2CFE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946" w:type="pct"/>
            <w:tcBorders>
              <w:left w:val="single" w:color="000000" w:sz="2" w:space="0"/>
              <w:bottom w:val="single" w:color="000000" w:sz="2" w:space="0"/>
            </w:tcBorders>
            <w:vAlign w:val="center"/>
          </w:tcPr>
          <w:p w14:paraId="4492C0CC">
            <w:pPr>
              <w:spacing w:line="276" w:lineRule="auto"/>
              <w:jc w:val="center"/>
              <w:rPr>
                <w:rFonts w:ascii="宋体" w:hAnsi="宋体" w:cs="宋体"/>
                <w:szCs w:val="21"/>
              </w:rPr>
            </w:pPr>
          </w:p>
        </w:tc>
        <w:tc>
          <w:tcPr>
            <w:tcW w:w="1159" w:type="pct"/>
            <w:tcBorders>
              <w:bottom w:val="single" w:color="000000" w:sz="2" w:space="0"/>
            </w:tcBorders>
            <w:vAlign w:val="center"/>
          </w:tcPr>
          <w:p w14:paraId="1B562165">
            <w:pPr>
              <w:pStyle w:val="119"/>
              <w:spacing w:line="276" w:lineRule="auto"/>
              <w:jc w:val="center"/>
              <w:rPr>
                <w:sz w:val="21"/>
                <w:szCs w:val="21"/>
              </w:rPr>
            </w:pPr>
            <w:r>
              <w:rPr>
                <w:rFonts w:hint="eastAsia"/>
                <w:spacing w:val="-7"/>
                <w:sz w:val="21"/>
                <w:szCs w:val="21"/>
              </w:rPr>
              <w:t>总计</w:t>
            </w:r>
          </w:p>
        </w:tc>
        <w:tc>
          <w:tcPr>
            <w:tcW w:w="548" w:type="pct"/>
            <w:tcBorders>
              <w:bottom w:val="single" w:color="000000" w:sz="2" w:space="0"/>
            </w:tcBorders>
            <w:vAlign w:val="center"/>
          </w:tcPr>
          <w:p w14:paraId="71FF16D9">
            <w:pPr>
              <w:spacing w:line="276" w:lineRule="auto"/>
              <w:jc w:val="center"/>
              <w:rPr>
                <w:rFonts w:ascii="宋体" w:hAnsi="宋体" w:cs="宋体"/>
                <w:szCs w:val="21"/>
              </w:rPr>
            </w:pPr>
          </w:p>
        </w:tc>
        <w:tc>
          <w:tcPr>
            <w:tcW w:w="730" w:type="pct"/>
            <w:tcBorders>
              <w:bottom w:val="single" w:color="000000" w:sz="2" w:space="0"/>
            </w:tcBorders>
            <w:vAlign w:val="center"/>
          </w:tcPr>
          <w:p w14:paraId="031A2AB8">
            <w:pPr>
              <w:spacing w:line="276" w:lineRule="auto"/>
              <w:jc w:val="center"/>
              <w:rPr>
                <w:rFonts w:ascii="宋体" w:hAnsi="宋体" w:cs="宋体"/>
                <w:szCs w:val="21"/>
              </w:rPr>
            </w:pPr>
          </w:p>
        </w:tc>
        <w:tc>
          <w:tcPr>
            <w:tcW w:w="822" w:type="pct"/>
            <w:tcBorders>
              <w:bottom w:val="single" w:color="000000" w:sz="2" w:space="0"/>
            </w:tcBorders>
            <w:vAlign w:val="center"/>
          </w:tcPr>
          <w:p w14:paraId="51A77F66">
            <w:pPr>
              <w:pStyle w:val="119"/>
              <w:spacing w:line="276" w:lineRule="auto"/>
              <w:jc w:val="center"/>
              <w:rPr>
                <w:sz w:val="21"/>
                <w:szCs w:val="21"/>
                <w:lang w:eastAsia="zh-CN"/>
              </w:rPr>
            </w:pPr>
            <w:r>
              <w:rPr>
                <w:spacing w:val="-5"/>
                <w:sz w:val="21"/>
                <w:szCs w:val="21"/>
                <w:lang w:eastAsia="zh-CN"/>
              </w:rPr>
              <w:fldChar w:fldCharType="begin"/>
            </w:r>
            <w:r>
              <w:rPr>
                <w:spacing w:val="-5"/>
                <w:sz w:val="21"/>
                <w:szCs w:val="21"/>
                <w:lang w:eastAsia="zh-CN"/>
              </w:rPr>
              <w:instrText xml:space="preserve"> =SUM(ABOVE) </w:instrText>
            </w:r>
            <w:r>
              <w:rPr>
                <w:spacing w:val="-5"/>
                <w:sz w:val="21"/>
                <w:szCs w:val="21"/>
                <w:lang w:eastAsia="zh-CN"/>
              </w:rPr>
              <w:fldChar w:fldCharType="separate"/>
            </w:r>
            <w:r>
              <w:rPr>
                <w:spacing w:val="-5"/>
                <w:sz w:val="21"/>
                <w:szCs w:val="21"/>
                <w:lang w:eastAsia="zh-CN"/>
              </w:rPr>
              <w:t>103</w:t>
            </w:r>
            <w:r>
              <w:rPr>
                <w:spacing w:val="-5"/>
                <w:sz w:val="21"/>
                <w:szCs w:val="21"/>
                <w:lang w:eastAsia="zh-CN"/>
              </w:rPr>
              <w:fldChar w:fldCharType="end"/>
            </w:r>
            <w:r>
              <w:rPr>
                <w:rFonts w:hint="eastAsia"/>
                <w:spacing w:val="-5"/>
                <w:sz w:val="21"/>
                <w:szCs w:val="21"/>
                <w:lang w:eastAsia="zh-CN"/>
              </w:rPr>
              <w:t>.5</w:t>
            </w:r>
          </w:p>
        </w:tc>
        <w:tc>
          <w:tcPr>
            <w:tcW w:w="796" w:type="pct"/>
            <w:tcBorders>
              <w:bottom w:val="single" w:color="000000" w:sz="2" w:space="0"/>
              <w:right w:val="single" w:color="000000" w:sz="2" w:space="0"/>
            </w:tcBorders>
            <w:vAlign w:val="center"/>
          </w:tcPr>
          <w:p w14:paraId="0CB7B6BF">
            <w:pPr>
              <w:spacing w:line="276" w:lineRule="auto"/>
              <w:jc w:val="center"/>
              <w:rPr>
                <w:rFonts w:ascii="宋体" w:hAnsi="宋体" w:cs="宋体"/>
                <w:szCs w:val="21"/>
              </w:rPr>
            </w:pPr>
          </w:p>
        </w:tc>
      </w:tr>
    </w:tbl>
    <w:p w14:paraId="70320B02">
      <w:pPr>
        <w:adjustRightInd w:val="0"/>
        <w:snapToGrid w:val="0"/>
        <w:spacing w:line="360" w:lineRule="auto"/>
        <w:jc w:val="center"/>
        <w:rPr>
          <w:rFonts w:ascii="宋体" w:hAnsi="宋体" w:cs="宋体"/>
          <w:b/>
          <w:bCs/>
          <w:spacing w:val="-7"/>
          <w:szCs w:val="21"/>
        </w:rPr>
      </w:pPr>
      <w:r>
        <w:rPr>
          <w:rFonts w:hint="eastAsia" w:ascii="宋体" w:hAnsi="宋体" w:cs="宋体"/>
          <w:b/>
          <w:bCs/>
          <w:spacing w:val="-7"/>
          <w:szCs w:val="21"/>
        </w:rPr>
        <w:t>表 4-3   露天开采投资估算表</w:t>
      </w:r>
    </w:p>
    <w:tbl>
      <w:tblPr>
        <w:tblStyle w:val="42"/>
        <w:tblW w:w="792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1"/>
        <w:gridCol w:w="2734"/>
        <w:gridCol w:w="1751"/>
        <w:gridCol w:w="2593"/>
      </w:tblGrid>
      <w:tr w14:paraId="7C6325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51" w:type="dxa"/>
            <w:vAlign w:val="center"/>
          </w:tcPr>
          <w:p w14:paraId="13673F88">
            <w:pPr>
              <w:pStyle w:val="119"/>
              <w:spacing w:line="276" w:lineRule="auto"/>
              <w:jc w:val="center"/>
              <w:rPr>
                <w:sz w:val="21"/>
                <w:szCs w:val="21"/>
              </w:rPr>
            </w:pPr>
            <w:r>
              <w:rPr>
                <w:spacing w:val="-5"/>
                <w:sz w:val="21"/>
                <w:szCs w:val="21"/>
              </w:rPr>
              <w:t>序号</w:t>
            </w:r>
          </w:p>
        </w:tc>
        <w:tc>
          <w:tcPr>
            <w:tcW w:w="2734" w:type="dxa"/>
            <w:vAlign w:val="center"/>
          </w:tcPr>
          <w:p w14:paraId="76D0E828">
            <w:pPr>
              <w:pStyle w:val="119"/>
              <w:spacing w:line="276" w:lineRule="auto"/>
              <w:jc w:val="center"/>
              <w:rPr>
                <w:sz w:val="21"/>
                <w:szCs w:val="21"/>
              </w:rPr>
            </w:pPr>
            <w:r>
              <w:rPr>
                <w:spacing w:val="-4"/>
                <w:sz w:val="21"/>
                <w:szCs w:val="21"/>
              </w:rPr>
              <w:t>项目名称</w:t>
            </w:r>
          </w:p>
        </w:tc>
        <w:tc>
          <w:tcPr>
            <w:tcW w:w="1751" w:type="dxa"/>
            <w:vAlign w:val="center"/>
          </w:tcPr>
          <w:p w14:paraId="28CD7C82">
            <w:pPr>
              <w:pStyle w:val="119"/>
              <w:spacing w:line="276" w:lineRule="auto"/>
              <w:jc w:val="center"/>
              <w:rPr>
                <w:sz w:val="21"/>
                <w:szCs w:val="21"/>
              </w:rPr>
            </w:pPr>
            <w:r>
              <w:rPr>
                <w:spacing w:val="-3"/>
                <w:sz w:val="21"/>
                <w:szCs w:val="21"/>
              </w:rPr>
              <w:t>投资（万元）</w:t>
            </w:r>
          </w:p>
        </w:tc>
        <w:tc>
          <w:tcPr>
            <w:tcW w:w="2593" w:type="dxa"/>
          </w:tcPr>
          <w:p w14:paraId="2679AD87">
            <w:pPr>
              <w:pStyle w:val="119"/>
              <w:spacing w:line="276" w:lineRule="auto"/>
              <w:jc w:val="center"/>
              <w:rPr>
                <w:spacing w:val="-3"/>
                <w:sz w:val="21"/>
                <w:szCs w:val="21"/>
              </w:rPr>
            </w:pPr>
            <w:r>
              <w:rPr>
                <w:spacing w:val="-3"/>
                <w:sz w:val="21"/>
                <w:szCs w:val="21"/>
              </w:rPr>
              <w:t>备注</w:t>
            </w:r>
          </w:p>
        </w:tc>
      </w:tr>
      <w:tr w14:paraId="36A05C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51" w:type="dxa"/>
            <w:vAlign w:val="center"/>
          </w:tcPr>
          <w:p w14:paraId="776E0CA8">
            <w:pPr>
              <w:pStyle w:val="119"/>
              <w:spacing w:line="276" w:lineRule="auto"/>
              <w:jc w:val="center"/>
              <w:rPr>
                <w:sz w:val="21"/>
                <w:szCs w:val="21"/>
              </w:rPr>
            </w:pPr>
            <w:r>
              <w:rPr>
                <w:sz w:val="21"/>
                <w:szCs w:val="21"/>
              </w:rPr>
              <w:t>1</w:t>
            </w:r>
          </w:p>
        </w:tc>
        <w:tc>
          <w:tcPr>
            <w:tcW w:w="2734" w:type="dxa"/>
            <w:vAlign w:val="center"/>
          </w:tcPr>
          <w:p w14:paraId="5334DF23">
            <w:pPr>
              <w:pStyle w:val="119"/>
              <w:spacing w:line="276" w:lineRule="auto"/>
              <w:jc w:val="center"/>
              <w:rPr>
                <w:sz w:val="21"/>
                <w:szCs w:val="21"/>
                <w:lang w:eastAsia="zh-CN"/>
              </w:rPr>
            </w:pPr>
            <w:r>
              <w:rPr>
                <w:rFonts w:hint="eastAsia"/>
                <w:spacing w:val="-1"/>
                <w:sz w:val="21"/>
                <w:szCs w:val="21"/>
                <w:lang w:eastAsia="zh-CN"/>
              </w:rPr>
              <w:t>地表盖层</w:t>
            </w:r>
            <w:r>
              <w:rPr>
                <w:spacing w:val="-1"/>
                <w:sz w:val="21"/>
                <w:szCs w:val="21"/>
                <w:lang w:eastAsia="zh-CN"/>
              </w:rPr>
              <w:t>剥离</w:t>
            </w:r>
          </w:p>
        </w:tc>
        <w:tc>
          <w:tcPr>
            <w:tcW w:w="1751" w:type="dxa"/>
            <w:vAlign w:val="center"/>
          </w:tcPr>
          <w:p w14:paraId="5285D1CB">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865 </w:t>
            </w:r>
          </w:p>
        </w:tc>
        <w:tc>
          <w:tcPr>
            <w:tcW w:w="2593" w:type="dxa"/>
          </w:tcPr>
          <w:p w14:paraId="26463345">
            <w:pPr>
              <w:jc w:val="center"/>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按第1年剥离量</w:t>
            </w:r>
          </w:p>
        </w:tc>
      </w:tr>
      <w:tr w14:paraId="0D8D09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51" w:type="dxa"/>
            <w:vAlign w:val="center"/>
          </w:tcPr>
          <w:p w14:paraId="48647B47">
            <w:pPr>
              <w:pStyle w:val="119"/>
              <w:spacing w:line="276" w:lineRule="auto"/>
              <w:jc w:val="center"/>
              <w:rPr>
                <w:sz w:val="21"/>
                <w:szCs w:val="21"/>
              </w:rPr>
            </w:pPr>
            <w:r>
              <w:rPr>
                <w:sz w:val="21"/>
                <w:szCs w:val="21"/>
              </w:rPr>
              <w:t>2</w:t>
            </w:r>
          </w:p>
        </w:tc>
        <w:tc>
          <w:tcPr>
            <w:tcW w:w="2734" w:type="dxa"/>
            <w:vAlign w:val="center"/>
          </w:tcPr>
          <w:p w14:paraId="0D811870">
            <w:pPr>
              <w:pStyle w:val="119"/>
              <w:spacing w:line="276" w:lineRule="auto"/>
              <w:jc w:val="center"/>
              <w:rPr>
                <w:sz w:val="21"/>
                <w:szCs w:val="21"/>
              </w:rPr>
            </w:pPr>
            <w:r>
              <w:rPr>
                <w:spacing w:val="-4"/>
                <w:sz w:val="21"/>
                <w:szCs w:val="21"/>
              </w:rPr>
              <w:t>设备投资</w:t>
            </w:r>
          </w:p>
        </w:tc>
        <w:tc>
          <w:tcPr>
            <w:tcW w:w="1751" w:type="dxa"/>
            <w:vAlign w:val="center"/>
          </w:tcPr>
          <w:p w14:paraId="23D2BADD">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103.5</w:t>
            </w:r>
          </w:p>
        </w:tc>
        <w:tc>
          <w:tcPr>
            <w:tcW w:w="2593" w:type="dxa"/>
          </w:tcPr>
          <w:p w14:paraId="6880586C">
            <w:pPr>
              <w:jc w:val="center"/>
              <w:rPr>
                <w:rFonts w:asciiTheme="minorEastAsia" w:hAnsiTheme="minorEastAsia" w:eastAsiaTheme="minorEastAsia"/>
                <w:color w:val="000000"/>
                <w:szCs w:val="21"/>
              </w:rPr>
            </w:pPr>
          </w:p>
        </w:tc>
      </w:tr>
      <w:tr w14:paraId="363D3B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51" w:type="dxa"/>
            <w:vAlign w:val="center"/>
          </w:tcPr>
          <w:p w14:paraId="40996D8A">
            <w:pPr>
              <w:pStyle w:val="119"/>
              <w:spacing w:line="276" w:lineRule="auto"/>
              <w:jc w:val="center"/>
              <w:rPr>
                <w:sz w:val="21"/>
                <w:szCs w:val="21"/>
              </w:rPr>
            </w:pPr>
            <w:r>
              <w:rPr>
                <w:sz w:val="21"/>
                <w:szCs w:val="21"/>
              </w:rPr>
              <w:t>3</w:t>
            </w:r>
          </w:p>
        </w:tc>
        <w:tc>
          <w:tcPr>
            <w:tcW w:w="2734" w:type="dxa"/>
            <w:vAlign w:val="center"/>
          </w:tcPr>
          <w:p w14:paraId="41AE58E4">
            <w:pPr>
              <w:pStyle w:val="119"/>
              <w:spacing w:line="276" w:lineRule="auto"/>
              <w:jc w:val="center"/>
              <w:rPr>
                <w:sz w:val="21"/>
                <w:szCs w:val="21"/>
              </w:rPr>
            </w:pPr>
            <w:r>
              <w:rPr>
                <w:spacing w:val="-3"/>
                <w:sz w:val="21"/>
                <w:szCs w:val="21"/>
              </w:rPr>
              <w:t>其它投资</w:t>
            </w:r>
          </w:p>
        </w:tc>
        <w:tc>
          <w:tcPr>
            <w:tcW w:w="1751" w:type="dxa"/>
            <w:vAlign w:val="center"/>
          </w:tcPr>
          <w:p w14:paraId="1B1FEBF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10 </w:t>
            </w:r>
          </w:p>
        </w:tc>
        <w:tc>
          <w:tcPr>
            <w:tcW w:w="2593" w:type="dxa"/>
          </w:tcPr>
          <w:p w14:paraId="32AD0E8D">
            <w:pPr>
              <w:jc w:val="center"/>
              <w:rPr>
                <w:rFonts w:asciiTheme="minorEastAsia" w:hAnsiTheme="minorEastAsia" w:eastAsiaTheme="minorEastAsia"/>
                <w:color w:val="000000"/>
                <w:szCs w:val="21"/>
              </w:rPr>
            </w:pPr>
            <w:r>
              <w:rPr>
                <w:rFonts w:hint="eastAsia" w:asciiTheme="minorEastAsia" w:hAnsiTheme="minorEastAsia" w:eastAsiaTheme="minorEastAsia"/>
                <w:color w:val="000000"/>
                <w:szCs w:val="21"/>
              </w:rPr>
              <w:t>1、2项之和的1%</w:t>
            </w:r>
          </w:p>
        </w:tc>
      </w:tr>
      <w:tr w14:paraId="1916F5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51" w:type="dxa"/>
            <w:vAlign w:val="center"/>
          </w:tcPr>
          <w:p w14:paraId="158512DA">
            <w:pPr>
              <w:pStyle w:val="119"/>
              <w:spacing w:line="276" w:lineRule="auto"/>
              <w:jc w:val="center"/>
              <w:rPr>
                <w:sz w:val="21"/>
                <w:szCs w:val="21"/>
              </w:rPr>
            </w:pPr>
            <w:r>
              <w:rPr>
                <w:sz w:val="21"/>
                <w:szCs w:val="21"/>
              </w:rPr>
              <w:t>4</w:t>
            </w:r>
          </w:p>
        </w:tc>
        <w:tc>
          <w:tcPr>
            <w:tcW w:w="2734" w:type="dxa"/>
            <w:vAlign w:val="center"/>
          </w:tcPr>
          <w:p w14:paraId="08454440">
            <w:pPr>
              <w:pStyle w:val="119"/>
              <w:spacing w:line="276" w:lineRule="auto"/>
              <w:jc w:val="center"/>
              <w:rPr>
                <w:sz w:val="21"/>
                <w:szCs w:val="21"/>
                <w:lang w:eastAsia="zh-CN"/>
              </w:rPr>
            </w:pPr>
            <w:r>
              <w:rPr>
                <w:spacing w:val="-3"/>
                <w:sz w:val="21"/>
                <w:szCs w:val="21"/>
                <w:lang w:eastAsia="zh-CN"/>
              </w:rPr>
              <w:t>预备费及铺底流动资金</w:t>
            </w:r>
          </w:p>
        </w:tc>
        <w:tc>
          <w:tcPr>
            <w:tcW w:w="1751" w:type="dxa"/>
            <w:vAlign w:val="center"/>
          </w:tcPr>
          <w:p w14:paraId="7894ABD7">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20 </w:t>
            </w:r>
          </w:p>
        </w:tc>
        <w:tc>
          <w:tcPr>
            <w:tcW w:w="2593" w:type="dxa"/>
          </w:tcPr>
          <w:p w14:paraId="0585928F">
            <w:pPr>
              <w:jc w:val="center"/>
              <w:rPr>
                <w:rFonts w:asciiTheme="minorEastAsia" w:hAnsiTheme="minorEastAsia" w:eastAsiaTheme="minorEastAsia"/>
                <w:color w:val="000000"/>
                <w:szCs w:val="21"/>
              </w:rPr>
            </w:pPr>
            <w:r>
              <w:rPr>
                <w:rFonts w:hint="eastAsia" w:asciiTheme="minorEastAsia" w:hAnsiTheme="minorEastAsia" w:eastAsiaTheme="minorEastAsia"/>
                <w:color w:val="000000"/>
                <w:szCs w:val="21"/>
              </w:rPr>
              <w:t>1、2、3项之和的2%</w:t>
            </w:r>
          </w:p>
        </w:tc>
      </w:tr>
      <w:tr w14:paraId="6F9C0B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51" w:type="dxa"/>
            <w:vAlign w:val="center"/>
          </w:tcPr>
          <w:p w14:paraId="7BA64448">
            <w:pPr>
              <w:spacing w:line="276" w:lineRule="auto"/>
              <w:jc w:val="center"/>
              <w:rPr>
                <w:rFonts w:ascii="Arial"/>
                <w:szCs w:val="21"/>
              </w:rPr>
            </w:pPr>
          </w:p>
        </w:tc>
        <w:tc>
          <w:tcPr>
            <w:tcW w:w="2734" w:type="dxa"/>
            <w:vAlign w:val="center"/>
          </w:tcPr>
          <w:p w14:paraId="4C56EEC3">
            <w:pPr>
              <w:pStyle w:val="119"/>
              <w:spacing w:line="276" w:lineRule="auto"/>
              <w:jc w:val="center"/>
              <w:rPr>
                <w:sz w:val="21"/>
                <w:szCs w:val="21"/>
              </w:rPr>
            </w:pPr>
            <w:r>
              <w:rPr>
                <w:spacing w:val="-6"/>
                <w:sz w:val="21"/>
                <w:szCs w:val="21"/>
              </w:rPr>
              <w:t>合计</w:t>
            </w:r>
          </w:p>
        </w:tc>
        <w:tc>
          <w:tcPr>
            <w:tcW w:w="1751" w:type="dxa"/>
            <w:vAlign w:val="center"/>
          </w:tcPr>
          <w:p w14:paraId="16A94583">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997 </w:t>
            </w:r>
          </w:p>
        </w:tc>
        <w:tc>
          <w:tcPr>
            <w:tcW w:w="2593" w:type="dxa"/>
          </w:tcPr>
          <w:p w14:paraId="45CFB808">
            <w:pPr>
              <w:jc w:val="center"/>
              <w:rPr>
                <w:rFonts w:asciiTheme="minorEastAsia" w:hAnsiTheme="minorEastAsia" w:eastAsiaTheme="minorEastAsia"/>
                <w:color w:val="000000"/>
                <w:szCs w:val="21"/>
              </w:rPr>
            </w:pPr>
          </w:p>
        </w:tc>
      </w:tr>
    </w:tbl>
    <w:p w14:paraId="0AB78F7E">
      <w:pPr>
        <w:spacing w:line="360" w:lineRule="auto"/>
        <w:rPr>
          <w:rFonts w:ascii="宋体" w:hAnsi="宋体" w:cs="宋体"/>
          <w:spacing w:val="2"/>
          <w:sz w:val="28"/>
          <w:szCs w:val="28"/>
        </w:rPr>
      </w:pPr>
      <w:r>
        <w:rPr>
          <w:rFonts w:hint="eastAsia" w:ascii="宋体" w:hAnsi="宋体" w:cs="宋体"/>
          <w:spacing w:val="2"/>
          <w:sz w:val="28"/>
          <w:szCs w:val="28"/>
        </w:rPr>
        <w:t>（3）成本估算</w:t>
      </w:r>
    </w:p>
    <w:p w14:paraId="7C4B323C">
      <w:pPr>
        <w:spacing w:line="360" w:lineRule="auto"/>
        <w:ind w:firstLine="561"/>
        <w:rPr>
          <w:rFonts w:ascii="宋体" w:hAnsi="宋体" w:cs="宋体"/>
          <w:spacing w:val="2"/>
          <w:sz w:val="28"/>
          <w:szCs w:val="28"/>
        </w:rPr>
      </w:pPr>
      <w:r>
        <w:rPr>
          <w:rFonts w:ascii="宋体" w:hAnsi="宋体" w:cs="宋体"/>
          <w:spacing w:val="2"/>
          <w:sz w:val="28"/>
          <w:szCs w:val="28"/>
        </w:rPr>
        <w:t>成本按费用项目进行估算，其项目包括：材料费、动力费、工资及福利费、制造费、管理费及其它等费用。</w:t>
      </w:r>
    </w:p>
    <w:p w14:paraId="1D721A2E">
      <w:pPr>
        <w:spacing w:line="360" w:lineRule="auto"/>
        <w:jc w:val="center"/>
        <w:rPr>
          <w:rFonts w:ascii="宋体" w:hAnsi="宋体" w:cs="宋体"/>
          <w:b/>
          <w:bCs/>
          <w:spacing w:val="-7"/>
          <w:szCs w:val="21"/>
        </w:rPr>
      </w:pPr>
      <w:r>
        <w:rPr>
          <w:rFonts w:hint="eastAsia" w:ascii="宋体" w:hAnsi="宋体" w:cs="宋体"/>
          <w:b/>
          <w:bCs/>
          <w:spacing w:val="-7"/>
          <w:szCs w:val="21"/>
        </w:rPr>
        <w:t>表 4-4  采矿成本估算表</w:t>
      </w:r>
    </w:p>
    <w:tbl>
      <w:tblPr>
        <w:tblStyle w:val="42"/>
        <w:tblW w:w="7796" w:type="dxa"/>
        <w:tblInd w:w="42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96"/>
        <w:gridCol w:w="2630"/>
        <w:gridCol w:w="1719"/>
        <w:gridCol w:w="2251"/>
      </w:tblGrid>
      <w:tr w14:paraId="32245D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trPr>
        <w:tc>
          <w:tcPr>
            <w:tcW w:w="1196" w:type="dxa"/>
            <w:vAlign w:val="center"/>
          </w:tcPr>
          <w:p w14:paraId="616AEAFD">
            <w:pPr>
              <w:pStyle w:val="119"/>
              <w:spacing w:line="276" w:lineRule="auto"/>
              <w:jc w:val="center"/>
              <w:rPr>
                <w:sz w:val="21"/>
                <w:szCs w:val="21"/>
              </w:rPr>
            </w:pPr>
            <w:r>
              <w:rPr>
                <w:spacing w:val="-5"/>
                <w:sz w:val="21"/>
                <w:szCs w:val="21"/>
              </w:rPr>
              <w:t>序号</w:t>
            </w:r>
          </w:p>
        </w:tc>
        <w:tc>
          <w:tcPr>
            <w:tcW w:w="2630" w:type="dxa"/>
            <w:vAlign w:val="center"/>
          </w:tcPr>
          <w:p w14:paraId="191D052A">
            <w:pPr>
              <w:pStyle w:val="119"/>
              <w:spacing w:line="276" w:lineRule="auto"/>
              <w:ind w:left="65" w:hanging="64" w:hangingChars="33"/>
              <w:jc w:val="center"/>
              <w:rPr>
                <w:sz w:val="21"/>
                <w:szCs w:val="21"/>
              </w:rPr>
            </w:pPr>
            <w:r>
              <w:rPr>
                <w:spacing w:val="-7"/>
                <w:sz w:val="21"/>
                <w:szCs w:val="21"/>
              </w:rPr>
              <w:t>项目</w:t>
            </w:r>
          </w:p>
        </w:tc>
        <w:tc>
          <w:tcPr>
            <w:tcW w:w="1719" w:type="dxa"/>
            <w:vAlign w:val="center"/>
          </w:tcPr>
          <w:p w14:paraId="0A76F96B">
            <w:pPr>
              <w:pStyle w:val="119"/>
              <w:spacing w:line="276" w:lineRule="auto"/>
              <w:jc w:val="center"/>
              <w:rPr>
                <w:sz w:val="21"/>
                <w:szCs w:val="21"/>
              </w:rPr>
            </w:pPr>
            <w:r>
              <w:rPr>
                <w:spacing w:val="-6"/>
                <w:sz w:val="21"/>
                <w:szCs w:val="21"/>
              </w:rPr>
              <w:t>单位</w:t>
            </w:r>
          </w:p>
        </w:tc>
        <w:tc>
          <w:tcPr>
            <w:tcW w:w="2251" w:type="dxa"/>
            <w:vAlign w:val="center"/>
          </w:tcPr>
          <w:p w14:paraId="6F929DAB">
            <w:pPr>
              <w:pStyle w:val="119"/>
              <w:spacing w:line="276" w:lineRule="auto"/>
              <w:jc w:val="center"/>
              <w:rPr>
                <w:sz w:val="21"/>
                <w:szCs w:val="21"/>
              </w:rPr>
            </w:pPr>
            <w:r>
              <w:rPr>
                <w:spacing w:val="-3"/>
                <w:sz w:val="21"/>
                <w:szCs w:val="21"/>
              </w:rPr>
              <w:t>金额（元）</w:t>
            </w:r>
          </w:p>
        </w:tc>
      </w:tr>
      <w:tr w14:paraId="77A4CB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trPr>
        <w:tc>
          <w:tcPr>
            <w:tcW w:w="1196" w:type="dxa"/>
            <w:vAlign w:val="center"/>
          </w:tcPr>
          <w:p w14:paraId="03F18F30">
            <w:pPr>
              <w:pStyle w:val="119"/>
              <w:spacing w:line="276" w:lineRule="auto"/>
              <w:jc w:val="center"/>
              <w:rPr>
                <w:sz w:val="21"/>
                <w:szCs w:val="21"/>
              </w:rPr>
            </w:pPr>
            <w:r>
              <w:rPr>
                <w:sz w:val="21"/>
                <w:szCs w:val="21"/>
              </w:rPr>
              <w:t>1</w:t>
            </w:r>
          </w:p>
        </w:tc>
        <w:tc>
          <w:tcPr>
            <w:tcW w:w="2630" w:type="dxa"/>
            <w:vAlign w:val="center"/>
          </w:tcPr>
          <w:p w14:paraId="7650E503">
            <w:pPr>
              <w:pStyle w:val="119"/>
              <w:spacing w:line="276" w:lineRule="auto"/>
              <w:ind w:left="67" w:hanging="66" w:hangingChars="33"/>
              <w:jc w:val="center"/>
              <w:rPr>
                <w:sz w:val="21"/>
                <w:szCs w:val="21"/>
              </w:rPr>
            </w:pPr>
            <w:r>
              <w:rPr>
                <w:spacing w:val="-4"/>
                <w:sz w:val="21"/>
                <w:szCs w:val="21"/>
              </w:rPr>
              <w:t>材料费</w:t>
            </w:r>
          </w:p>
        </w:tc>
        <w:tc>
          <w:tcPr>
            <w:tcW w:w="1719" w:type="dxa"/>
            <w:vAlign w:val="center"/>
          </w:tcPr>
          <w:p w14:paraId="29B35331">
            <w:pPr>
              <w:pStyle w:val="119"/>
              <w:spacing w:line="276" w:lineRule="auto"/>
              <w:jc w:val="center"/>
              <w:rPr>
                <w:sz w:val="21"/>
                <w:szCs w:val="21"/>
              </w:rPr>
            </w:pPr>
            <w:r>
              <w:rPr>
                <w:spacing w:val="-4"/>
                <w:sz w:val="21"/>
                <w:szCs w:val="21"/>
              </w:rPr>
              <w:t>元/m</w:t>
            </w:r>
            <w:r>
              <w:rPr>
                <w:spacing w:val="-4"/>
                <w:sz w:val="21"/>
                <w:szCs w:val="21"/>
                <w:vertAlign w:val="superscript"/>
              </w:rPr>
              <w:t>3</w:t>
            </w:r>
          </w:p>
        </w:tc>
        <w:tc>
          <w:tcPr>
            <w:tcW w:w="2251" w:type="dxa"/>
            <w:vAlign w:val="center"/>
          </w:tcPr>
          <w:p w14:paraId="17BC50B1">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w:t>
            </w:r>
          </w:p>
        </w:tc>
      </w:tr>
      <w:tr w14:paraId="362217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trPr>
        <w:tc>
          <w:tcPr>
            <w:tcW w:w="1196" w:type="dxa"/>
            <w:vAlign w:val="center"/>
          </w:tcPr>
          <w:p w14:paraId="6F0AB835">
            <w:pPr>
              <w:pStyle w:val="119"/>
              <w:spacing w:line="276" w:lineRule="auto"/>
              <w:jc w:val="center"/>
              <w:rPr>
                <w:sz w:val="21"/>
                <w:szCs w:val="21"/>
              </w:rPr>
            </w:pPr>
            <w:r>
              <w:rPr>
                <w:sz w:val="21"/>
                <w:szCs w:val="21"/>
              </w:rPr>
              <w:t>2</w:t>
            </w:r>
          </w:p>
        </w:tc>
        <w:tc>
          <w:tcPr>
            <w:tcW w:w="2630" w:type="dxa"/>
            <w:vAlign w:val="center"/>
          </w:tcPr>
          <w:p w14:paraId="177C9393">
            <w:pPr>
              <w:pStyle w:val="119"/>
              <w:spacing w:line="276" w:lineRule="auto"/>
              <w:ind w:left="68" w:hanging="67" w:hangingChars="33"/>
              <w:jc w:val="center"/>
              <w:rPr>
                <w:sz w:val="21"/>
                <w:szCs w:val="21"/>
              </w:rPr>
            </w:pPr>
            <w:r>
              <w:rPr>
                <w:spacing w:val="-2"/>
                <w:sz w:val="21"/>
                <w:szCs w:val="21"/>
              </w:rPr>
              <w:t>燃料动力费</w:t>
            </w:r>
          </w:p>
        </w:tc>
        <w:tc>
          <w:tcPr>
            <w:tcW w:w="1719" w:type="dxa"/>
            <w:vAlign w:val="center"/>
          </w:tcPr>
          <w:p w14:paraId="05783DC0">
            <w:pPr>
              <w:pStyle w:val="119"/>
              <w:spacing w:line="276" w:lineRule="auto"/>
              <w:jc w:val="center"/>
              <w:rPr>
                <w:sz w:val="21"/>
                <w:szCs w:val="21"/>
              </w:rPr>
            </w:pPr>
            <w:r>
              <w:rPr>
                <w:spacing w:val="-4"/>
                <w:sz w:val="21"/>
                <w:szCs w:val="21"/>
              </w:rPr>
              <w:t>元/m</w:t>
            </w:r>
            <w:r>
              <w:rPr>
                <w:spacing w:val="-4"/>
                <w:sz w:val="21"/>
                <w:szCs w:val="21"/>
                <w:vertAlign w:val="superscript"/>
              </w:rPr>
              <w:t>3</w:t>
            </w:r>
          </w:p>
        </w:tc>
        <w:tc>
          <w:tcPr>
            <w:tcW w:w="2251" w:type="dxa"/>
            <w:vAlign w:val="center"/>
          </w:tcPr>
          <w:p w14:paraId="4747CDC8">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6</w:t>
            </w:r>
          </w:p>
        </w:tc>
      </w:tr>
      <w:tr w14:paraId="121B91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trPr>
        <w:tc>
          <w:tcPr>
            <w:tcW w:w="1196" w:type="dxa"/>
            <w:vAlign w:val="center"/>
          </w:tcPr>
          <w:p w14:paraId="10021A84">
            <w:pPr>
              <w:pStyle w:val="119"/>
              <w:spacing w:line="276" w:lineRule="auto"/>
              <w:jc w:val="center"/>
              <w:rPr>
                <w:sz w:val="21"/>
                <w:szCs w:val="21"/>
              </w:rPr>
            </w:pPr>
            <w:r>
              <w:rPr>
                <w:sz w:val="21"/>
                <w:szCs w:val="21"/>
              </w:rPr>
              <w:t>3</w:t>
            </w:r>
          </w:p>
        </w:tc>
        <w:tc>
          <w:tcPr>
            <w:tcW w:w="2630" w:type="dxa"/>
            <w:vAlign w:val="center"/>
          </w:tcPr>
          <w:p w14:paraId="388A4DEA">
            <w:pPr>
              <w:pStyle w:val="119"/>
              <w:spacing w:line="276" w:lineRule="auto"/>
              <w:ind w:left="67" w:hanging="66" w:hangingChars="33"/>
              <w:jc w:val="center"/>
              <w:rPr>
                <w:sz w:val="21"/>
                <w:szCs w:val="21"/>
              </w:rPr>
            </w:pPr>
            <w:r>
              <w:rPr>
                <w:spacing w:val="-4"/>
                <w:sz w:val="21"/>
                <w:szCs w:val="21"/>
              </w:rPr>
              <w:t>工人工资及福利</w:t>
            </w:r>
          </w:p>
        </w:tc>
        <w:tc>
          <w:tcPr>
            <w:tcW w:w="1719" w:type="dxa"/>
            <w:vAlign w:val="center"/>
          </w:tcPr>
          <w:p w14:paraId="04E7E2BF">
            <w:pPr>
              <w:pStyle w:val="119"/>
              <w:spacing w:line="276" w:lineRule="auto"/>
              <w:jc w:val="center"/>
              <w:rPr>
                <w:sz w:val="21"/>
                <w:szCs w:val="21"/>
              </w:rPr>
            </w:pPr>
            <w:r>
              <w:rPr>
                <w:spacing w:val="-4"/>
                <w:sz w:val="21"/>
                <w:szCs w:val="21"/>
              </w:rPr>
              <w:t>元/m</w:t>
            </w:r>
            <w:r>
              <w:rPr>
                <w:spacing w:val="-4"/>
                <w:sz w:val="21"/>
                <w:szCs w:val="21"/>
                <w:vertAlign w:val="superscript"/>
              </w:rPr>
              <w:t>3</w:t>
            </w:r>
          </w:p>
        </w:tc>
        <w:tc>
          <w:tcPr>
            <w:tcW w:w="2251" w:type="dxa"/>
            <w:vAlign w:val="center"/>
          </w:tcPr>
          <w:p w14:paraId="0A42FD98">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3.5</w:t>
            </w:r>
          </w:p>
        </w:tc>
      </w:tr>
      <w:tr w14:paraId="0A837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trPr>
        <w:tc>
          <w:tcPr>
            <w:tcW w:w="1196" w:type="dxa"/>
            <w:vAlign w:val="center"/>
          </w:tcPr>
          <w:p w14:paraId="1FB8DD53">
            <w:pPr>
              <w:pStyle w:val="119"/>
              <w:spacing w:line="276" w:lineRule="auto"/>
              <w:jc w:val="center"/>
              <w:rPr>
                <w:sz w:val="21"/>
                <w:szCs w:val="21"/>
              </w:rPr>
            </w:pPr>
            <w:r>
              <w:rPr>
                <w:sz w:val="21"/>
                <w:szCs w:val="21"/>
              </w:rPr>
              <w:t>4</w:t>
            </w:r>
          </w:p>
        </w:tc>
        <w:tc>
          <w:tcPr>
            <w:tcW w:w="2630" w:type="dxa"/>
            <w:vAlign w:val="center"/>
          </w:tcPr>
          <w:p w14:paraId="3E890B24">
            <w:pPr>
              <w:pStyle w:val="119"/>
              <w:spacing w:line="276" w:lineRule="auto"/>
              <w:ind w:left="67" w:hanging="66" w:hangingChars="33"/>
              <w:jc w:val="center"/>
              <w:rPr>
                <w:sz w:val="21"/>
                <w:szCs w:val="21"/>
              </w:rPr>
            </w:pPr>
            <w:r>
              <w:rPr>
                <w:spacing w:val="-4"/>
                <w:sz w:val="21"/>
                <w:szCs w:val="21"/>
              </w:rPr>
              <w:t>制造费</w:t>
            </w:r>
          </w:p>
        </w:tc>
        <w:tc>
          <w:tcPr>
            <w:tcW w:w="1719" w:type="dxa"/>
            <w:vAlign w:val="center"/>
          </w:tcPr>
          <w:p w14:paraId="218A6867">
            <w:pPr>
              <w:pStyle w:val="119"/>
              <w:spacing w:line="276" w:lineRule="auto"/>
              <w:jc w:val="center"/>
              <w:rPr>
                <w:sz w:val="21"/>
                <w:szCs w:val="21"/>
              </w:rPr>
            </w:pPr>
            <w:r>
              <w:rPr>
                <w:spacing w:val="-4"/>
                <w:sz w:val="21"/>
                <w:szCs w:val="21"/>
              </w:rPr>
              <w:t>元/m</w:t>
            </w:r>
            <w:r>
              <w:rPr>
                <w:spacing w:val="-4"/>
                <w:sz w:val="21"/>
                <w:szCs w:val="21"/>
                <w:vertAlign w:val="superscript"/>
              </w:rPr>
              <w:t>3</w:t>
            </w:r>
          </w:p>
        </w:tc>
        <w:tc>
          <w:tcPr>
            <w:tcW w:w="2251" w:type="dxa"/>
            <w:vAlign w:val="center"/>
          </w:tcPr>
          <w:p w14:paraId="3B57D8B9">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4.5</w:t>
            </w:r>
          </w:p>
        </w:tc>
      </w:tr>
      <w:tr w14:paraId="3D2B0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trPr>
        <w:tc>
          <w:tcPr>
            <w:tcW w:w="1196" w:type="dxa"/>
            <w:vAlign w:val="center"/>
          </w:tcPr>
          <w:p w14:paraId="39680727">
            <w:pPr>
              <w:pStyle w:val="119"/>
              <w:spacing w:line="276" w:lineRule="auto"/>
              <w:jc w:val="center"/>
              <w:rPr>
                <w:sz w:val="21"/>
                <w:szCs w:val="21"/>
                <w:lang w:eastAsia="zh-CN"/>
              </w:rPr>
            </w:pPr>
            <w:r>
              <w:rPr>
                <w:rFonts w:hint="eastAsia"/>
                <w:sz w:val="21"/>
                <w:szCs w:val="21"/>
                <w:lang w:eastAsia="zh-CN"/>
              </w:rPr>
              <w:t>5</w:t>
            </w:r>
          </w:p>
        </w:tc>
        <w:tc>
          <w:tcPr>
            <w:tcW w:w="2630" w:type="dxa"/>
            <w:vAlign w:val="center"/>
          </w:tcPr>
          <w:p w14:paraId="05BAF875">
            <w:pPr>
              <w:pStyle w:val="119"/>
              <w:spacing w:line="276" w:lineRule="auto"/>
              <w:ind w:left="67" w:hanging="66" w:hangingChars="33"/>
              <w:jc w:val="center"/>
              <w:rPr>
                <w:spacing w:val="-4"/>
                <w:sz w:val="21"/>
                <w:szCs w:val="21"/>
                <w:lang w:eastAsia="zh-CN"/>
              </w:rPr>
            </w:pPr>
            <w:r>
              <w:rPr>
                <w:spacing w:val="-4"/>
                <w:sz w:val="21"/>
                <w:szCs w:val="21"/>
              </w:rPr>
              <w:t>安全设施费</w:t>
            </w:r>
          </w:p>
        </w:tc>
        <w:tc>
          <w:tcPr>
            <w:tcW w:w="1719" w:type="dxa"/>
            <w:vAlign w:val="center"/>
          </w:tcPr>
          <w:p w14:paraId="22A44DCD">
            <w:pPr>
              <w:pStyle w:val="119"/>
              <w:spacing w:line="276" w:lineRule="auto"/>
              <w:jc w:val="center"/>
              <w:rPr>
                <w:spacing w:val="-4"/>
                <w:sz w:val="21"/>
                <w:szCs w:val="21"/>
              </w:rPr>
            </w:pPr>
            <w:r>
              <w:rPr>
                <w:spacing w:val="-4"/>
                <w:sz w:val="21"/>
                <w:szCs w:val="21"/>
              </w:rPr>
              <w:t>元/m</w:t>
            </w:r>
            <w:r>
              <w:rPr>
                <w:spacing w:val="-4"/>
                <w:sz w:val="21"/>
                <w:szCs w:val="21"/>
                <w:vertAlign w:val="superscript"/>
              </w:rPr>
              <w:t>3</w:t>
            </w:r>
          </w:p>
        </w:tc>
        <w:tc>
          <w:tcPr>
            <w:tcW w:w="2251" w:type="dxa"/>
            <w:vAlign w:val="center"/>
          </w:tcPr>
          <w:p w14:paraId="00F4F613">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7.4</w:t>
            </w:r>
          </w:p>
        </w:tc>
      </w:tr>
      <w:tr w14:paraId="397BB0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trPr>
        <w:tc>
          <w:tcPr>
            <w:tcW w:w="1196" w:type="dxa"/>
            <w:vAlign w:val="center"/>
          </w:tcPr>
          <w:p w14:paraId="2FE74BD1">
            <w:pPr>
              <w:pStyle w:val="119"/>
              <w:spacing w:line="276" w:lineRule="auto"/>
              <w:jc w:val="center"/>
              <w:rPr>
                <w:sz w:val="21"/>
                <w:szCs w:val="21"/>
                <w:lang w:eastAsia="zh-CN"/>
              </w:rPr>
            </w:pPr>
            <w:r>
              <w:rPr>
                <w:rFonts w:hint="eastAsia"/>
                <w:sz w:val="21"/>
                <w:szCs w:val="21"/>
                <w:lang w:eastAsia="zh-CN"/>
              </w:rPr>
              <w:t>7</w:t>
            </w:r>
          </w:p>
        </w:tc>
        <w:tc>
          <w:tcPr>
            <w:tcW w:w="2630" w:type="dxa"/>
            <w:vAlign w:val="center"/>
          </w:tcPr>
          <w:p w14:paraId="505D405D">
            <w:pPr>
              <w:pStyle w:val="119"/>
              <w:spacing w:line="276" w:lineRule="auto"/>
              <w:ind w:left="67" w:hanging="67" w:hangingChars="33"/>
              <w:jc w:val="center"/>
              <w:rPr>
                <w:sz w:val="21"/>
                <w:szCs w:val="21"/>
              </w:rPr>
            </w:pPr>
            <w:r>
              <w:rPr>
                <w:spacing w:val="-3"/>
                <w:sz w:val="21"/>
                <w:szCs w:val="21"/>
              </w:rPr>
              <w:t>管理费及其他</w:t>
            </w:r>
          </w:p>
        </w:tc>
        <w:tc>
          <w:tcPr>
            <w:tcW w:w="1719" w:type="dxa"/>
            <w:vAlign w:val="center"/>
          </w:tcPr>
          <w:p w14:paraId="431D0978">
            <w:pPr>
              <w:pStyle w:val="119"/>
              <w:spacing w:line="276" w:lineRule="auto"/>
              <w:jc w:val="center"/>
              <w:rPr>
                <w:sz w:val="21"/>
                <w:szCs w:val="21"/>
              </w:rPr>
            </w:pPr>
            <w:r>
              <w:rPr>
                <w:spacing w:val="-4"/>
                <w:sz w:val="21"/>
                <w:szCs w:val="21"/>
              </w:rPr>
              <w:t>元/m</w:t>
            </w:r>
            <w:r>
              <w:rPr>
                <w:spacing w:val="-4"/>
                <w:sz w:val="21"/>
                <w:szCs w:val="21"/>
                <w:vertAlign w:val="superscript"/>
              </w:rPr>
              <w:t>3</w:t>
            </w:r>
          </w:p>
        </w:tc>
        <w:tc>
          <w:tcPr>
            <w:tcW w:w="2251" w:type="dxa"/>
            <w:vAlign w:val="center"/>
          </w:tcPr>
          <w:p w14:paraId="59B332DA">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3.6</w:t>
            </w:r>
          </w:p>
        </w:tc>
      </w:tr>
      <w:tr w14:paraId="063551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trPr>
        <w:tc>
          <w:tcPr>
            <w:tcW w:w="1196" w:type="dxa"/>
            <w:vAlign w:val="center"/>
          </w:tcPr>
          <w:p w14:paraId="6AAC11C8">
            <w:pPr>
              <w:pStyle w:val="119"/>
              <w:spacing w:line="276" w:lineRule="auto"/>
              <w:jc w:val="center"/>
              <w:rPr>
                <w:sz w:val="21"/>
                <w:szCs w:val="21"/>
              </w:rPr>
            </w:pPr>
            <w:r>
              <w:rPr>
                <w:spacing w:val="-6"/>
                <w:sz w:val="21"/>
                <w:szCs w:val="21"/>
              </w:rPr>
              <w:t>合计</w:t>
            </w:r>
          </w:p>
        </w:tc>
        <w:tc>
          <w:tcPr>
            <w:tcW w:w="2630" w:type="dxa"/>
            <w:vAlign w:val="center"/>
          </w:tcPr>
          <w:p w14:paraId="6D36A45F">
            <w:pPr>
              <w:pStyle w:val="119"/>
              <w:spacing w:line="276" w:lineRule="auto"/>
              <w:rPr>
                <w:sz w:val="21"/>
                <w:szCs w:val="21"/>
              </w:rPr>
            </w:pPr>
          </w:p>
        </w:tc>
        <w:tc>
          <w:tcPr>
            <w:tcW w:w="1719" w:type="dxa"/>
            <w:vAlign w:val="center"/>
          </w:tcPr>
          <w:p w14:paraId="1FBC6524">
            <w:pPr>
              <w:pStyle w:val="119"/>
              <w:spacing w:line="276" w:lineRule="auto"/>
              <w:jc w:val="center"/>
              <w:rPr>
                <w:sz w:val="21"/>
                <w:szCs w:val="21"/>
              </w:rPr>
            </w:pPr>
            <w:r>
              <w:rPr>
                <w:spacing w:val="-4"/>
                <w:sz w:val="21"/>
                <w:szCs w:val="21"/>
              </w:rPr>
              <w:t>元/m</w:t>
            </w:r>
            <w:r>
              <w:rPr>
                <w:spacing w:val="-4"/>
                <w:sz w:val="21"/>
                <w:szCs w:val="21"/>
                <w:vertAlign w:val="superscript"/>
              </w:rPr>
              <w:t>3</w:t>
            </w:r>
          </w:p>
        </w:tc>
        <w:tc>
          <w:tcPr>
            <w:tcW w:w="2251" w:type="dxa"/>
            <w:vAlign w:val="center"/>
          </w:tcPr>
          <w:p w14:paraId="7FE48CFA">
            <w:pPr>
              <w:pStyle w:val="119"/>
              <w:spacing w:line="276" w:lineRule="auto"/>
              <w:jc w:val="center"/>
              <w:rPr>
                <w:sz w:val="21"/>
                <w:szCs w:val="21"/>
                <w:lang w:eastAsia="zh-CN"/>
              </w:rPr>
            </w:pPr>
            <w:r>
              <w:rPr>
                <w:sz w:val="21"/>
                <w:szCs w:val="21"/>
                <w:lang w:eastAsia="zh-CN"/>
              </w:rPr>
              <w:fldChar w:fldCharType="begin"/>
            </w:r>
            <w:r>
              <w:rPr>
                <w:sz w:val="21"/>
                <w:szCs w:val="21"/>
                <w:lang w:eastAsia="zh-CN"/>
              </w:rPr>
              <w:instrText xml:space="preserve"> =SUM(ABOVE) </w:instrText>
            </w:r>
            <w:r>
              <w:rPr>
                <w:sz w:val="21"/>
                <w:szCs w:val="21"/>
                <w:lang w:eastAsia="zh-CN"/>
              </w:rPr>
              <w:fldChar w:fldCharType="separate"/>
            </w:r>
            <w:r>
              <w:rPr>
                <w:sz w:val="21"/>
                <w:szCs w:val="21"/>
                <w:lang w:eastAsia="zh-CN"/>
              </w:rPr>
              <w:t>2</w:t>
            </w:r>
            <w:r>
              <w:rPr>
                <w:rFonts w:hint="eastAsia"/>
                <w:sz w:val="21"/>
                <w:szCs w:val="21"/>
                <w:lang w:eastAsia="zh-CN"/>
              </w:rPr>
              <w:t>9</w:t>
            </w:r>
            <w:r>
              <w:rPr>
                <w:sz w:val="21"/>
                <w:szCs w:val="21"/>
                <w:lang w:eastAsia="zh-CN"/>
              </w:rPr>
              <w:fldChar w:fldCharType="end"/>
            </w:r>
          </w:p>
        </w:tc>
      </w:tr>
    </w:tbl>
    <w:p w14:paraId="799B297E">
      <w:pPr>
        <w:spacing w:line="91" w:lineRule="auto"/>
        <w:rPr>
          <w:rFonts w:ascii="Arial"/>
          <w:sz w:val="2"/>
        </w:rPr>
      </w:pPr>
    </w:p>
    <w:p w14:paraId="375E0CFE">
      <w:pPr>
        <w:spacing w:line="360" w:lineRule="auto"/>
        <w:ind w:firstLine="561"/>
        <w:rPr>
          <w:sz w:val="28"/>
          <w:szCs w:val="28"/>
        </w:rPr>
      </w:pPr>
      <w:r>
        <w:rPr>
          <w:rFonts w:hint="eastAsia"/>
          <w:sz w:val="28"/>
          <w:szCs w:val="28"/>
        </w:rPr>
        <w:t>（四）经济评价</w:t>
      </w:r>
    </w:p>
    <w:p w14:paraId="61AC877C">
      <w:pPr>
        <w:pStyle w:val="90"/>
        <w:adjustRightInd/>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矿山生产能力43万m</w:t>
      </w:r>
      <w:r>
        <w:rPr>
          <w:rFonts w:hint="eastAsia" w:asciiTheme="minorEastAsia" w:hAnsiTheme="minorEastAsia" w:eastAsiaTheme="minorEastAsia"/>
          <w:sz w:val="28"/>
          <w:szCs w:val="28"/>
          <w:vertAlign w:val="superscript"/>
        </w:rPr>
        <w:t>3</w:t>
      </w:r>
      <w:r>
        <w:rPr>
          <w:rFonts w:hint="eastAsia" w:asciiTheme="minorEastAsia" w:hAnsiTheme="minorEastAsia" w:eastAsiaTheme="minorEastAsia"/>
          <w:sz w:val="28"/>
          <w:szCs w:val="28"/>
        </w:rPr>
        <w:t>/a，根据周边矿山以往开采，结合当地市场销售情况，按平均采矿成本29元/m</w:t>
      </w:r>
      <w:r>
        <w:rPr>
          <w:rFonts w:hint="eastAsia" w:asciiTheme="minorEastAsia" w:hAnsiTheme="minorEastAsia" w:eastAsiaTheme="minorEastAsia"/>
          <w:sz w:val="28"/>
          <w:szCs w:val="28"/>
          <w:vertAlign w:val="superscript"/>
        </w:rPr>
        <w:t>3</w:t>
      </w:r>
      <w:r>
        <w:rPr>
          <w:rFonts w:hint="eastAsia" w:asciiTheme="minorEastAsia" w:hAnsiTheme="minorEastAsia" w:eastAsiaTheme="minorEastAsia"/>
          <w:sz w:val="28"/>
          <w:szCs w:val="28"/>
        </w:rPr>
        <w:t>，平均售价50元/m</w:t>
      </w:r>
      <w:r>
        <w:rPr>
          <w:rFonts w:hint="eastAsia" w:asciiTheme="minorEastAsia" w:hAnsiTheme="minorEastAsia" w:eastAsiaTheme="minorEastAsia"/>
          <w:sz w:val="28"/>
          <w:szCs w:val="28"/>
          <w:vertAlign w:val="superscript"/>
        </w:rPr>
        <w:t>3</w:t>
      </w:r>
      <w:r>
        <w:rPr>
          <w:rFonts w:hint="eastAsia" w:asciiTheme="minorEastAsia" w:hAnsiTheme="minorEastAsia" w:eastAsiaTheme="minorEastAsia"/>
          <w:sz w:val="28"/>
          <w:szCs w:val="28"/>
        </w:rPr>
        <w:t>进行估算评价。</w:t>
      </w:r>
    </w:p>
    <w:p w14:paraId="3ECF0E9A">
      <w:pPr>
        <w:pStyle w:val="15"/>
        <w:kinsoku w:val="0"/>
        <w:overflowPunct w:val="0"/>
        <w:spacing w:line="360" w:lineRule="auto"/>
        <w:ind w:left="39"/>
        <w:jc w:val="center"/>
        <w:rPr>
          <w:rFonts w:asciiTheme="minorEastAsia" w:hAnsiTheme="minorEastAsia" w:eastAsiaTheme="minorEastAsia"/>
          <w:szCs w:val="21"/>
        </w:rPr>
      </w:pPr>
      <w:bookmarkStart w:id="182" w:name="（二）开采方式"/>
      <w:bookmarkEnd w:id="182"/>
      <w:bookmarkStart w:id="183" w:name="1.开采方式的确定"/>
      <w:bookmarkEnd w:id="183"/>
      <w:bookmarkStart w:id="184" w:name="bookmark0"/>
      <w:bookmarkEnd w:id="184"/>
      <w:r>
        <w:rPr>
          <w:rFonts w:hint="eastAsia" w:asciiTheme="minorEastAsia" w:hAnsiTheme="minorEastAsia" w:eastAsiaTheme="minorEastAsia"/>
          <w:b/>
          <w:bCs/>
          <w:szCs w:val="21"/>
        </w:rPr>
        <w:t>表</w:t>
      </w:r>
      <w:r>
        <w:rPr>
          <w:rFonts w:asciiTheme="minorEastAsia" w:hAnsiTheme="minorEastAsia" w:eastAsiaTheme="minorEastAsia"/>
          <w:b/>
          <w:bCs/>
          <w:spacing w:val="1"/>
          <w:szCs w:val="21"/>
        </w:rPr>
        <w:t>4-5</w:t>
      </w:r>
      <w:r>
        <w:rPr>
          <w:rFonts w:hint="eastAsia" w:asciiTheme="minorEastAsia" w:hAnsiTheme="minorEastAsia" w:eastAsiaTheme="minorEastAsia"/>
          <w:b/>
          <w:bCs/>
          <w:szCs w:val="21"/>
        </w:rPr>
        <w:t>经济评价计算表</w:t>
      </w:r>
    </w:p>
    <w:tbl>
      <w:tblPr>
        <w:tblStyle w:val="42"/>
        <w:tblW w:w="826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756"/>
        <w:gridCol w:w="1700"/>
        <w:gridCol w:w="2783"/>
        <w:gridCol w:w="1461"/>
        <w:gridCol w:w="1560"/>
      </w:tblGrid>
      <w:tr w14:paraId="7B300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3" w:hRule="atLeast"/>
          <w:jc w:val="center"/>
        </w:trPr>
        <w:tc>
          <w:tcPr>
            <w:tcW w:w="756" w:type="dxa"/>
            <w:shd w:val="clear" w:color="auto" w:fill="auto"/>
            <w:vAlign w:val="center"/>
          </w:tcPr>
          <w:p w14:paraId="78F1216A">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1700" w:type="dxa"/>
            <w:shd w:val="clear" w:color="auto" w:fill="auto"/>
            <w:vAlign w:val="center"/>
          </w:tcPr>
          <w:p w14:paraId="7499BEC5">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项目名称</w:t>
            </w:r>
          </w:p>
        </w:tc>
        <w:tc>
          <w:tcPr>
            <w:tcW w:w="2783" w:type="dxa"/>
            <w:shd w:val="clear" w:color="auto" w:fill="auto"/>
            <w:vAlign w:val="center"/>
          </w:tcPr>
          <w:p w14:paraId="234C950A">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公式</w:t>
            </w:r>
          </w:p>
        </w:tc>
        <w:tc>
          <w:tcPr>
            <w:tcW w:w="1461" w:type="dxa"/>
            <w:shd w:val="clear" w:color="auto" w:fill="auto"/>
            <w:vAlign w:val="center"/>
          </w:tcPr>
          <w:p w14:paraId="31B1085A">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税率（</w:t>
            </w:r>
            <w:r>
              <w:rPr>
                <w:rFonts w:asciiTheme="minorEastAsia" w:hAnsiTheme="minorEastAsia" w:eastAsiaTheme="minorEastAsia"/>
                <w:color w:val="000000"/>
                <w:kern w:val="0"/>
                <w:szCs w:val="21"/>
              </w:rPr>
              <w:t>%</w:t>
            </w:r>
            <w:r>
              <w:rPr>
                <w:rFonts w:hint="eastAsia" w:cs="宋体" w:asciiTheme="minorEastAsia" w:hAnsiTheme="minorEastAsia" w:eastAsiaTheme="minorEastAsia"/>
                <w:color w:val="000000"/>
                <w:kern w:val="0"/>
                <w:szCs w:val="21"/>
              </w:rPr>
              <w:t>）</w:t>
            </w:r>
          </w:p>
        </w:tc>
        <w:tc>
          <w:tcPr>
            <w:tcW w:w="1560" w:type="dxa"/>
            <w:shd w:val="clear" w:color="auto" w:fill="auto"/>
            <w:vAlign w:val="center"/>
          </w:tcPr>
          <w:p w14:paraId="6D05545F">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指标（万元）</w:t>
            </w:r>
          </w:p>
        </w:tc>
      </w:tr>
      <w:tr w14:paraId="68543B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 w:hRule="atLeast"/>
          <w:jc w:val="center"/>
        </w:trPr>
        <w:tc>
          <w:tcPr>
            <w:tcW w:w="756" w:type="dxa"/>
            <w:shd w:val="clear" w:color="auto" w:fill="auto"/>
            <w:vAlign w:val="center"/>
          </w:tcPr>
          <w:p w14:paraId="3376E026">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w:t>
            </w:r>
          </w:p>
        </w:tc>
        <w:tc>
          <w:tcPr>
            <w:tcW w:w="1700" w:type="dxa"/>
            <w:shd w:val="clear" w:color="auto" w:fill="auto"/>
            <w:vAlign w:val="center"/>
          </w:tcPr>
          <w:p w14:paraId="15F68CFE">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销售收入</w:t>
            </w:r>
          </w:p>
        </w:tc>
        <w:tc>
          <w:tcPr>
            <w:tcW w:w="2783" w:type="dxa"/>
            <w:shd w:val="clear" w:color="auto" w:fill="auto"/>
            <w:vAlign w:val="center"/>
          </w:tcPr>
          <w:p w14:paraId="37558DEC">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年产量×销售价格</w:t>
            </w:r>
          </w:p>
        </w:tc>
        <w:tc>
          <w:tcPr>
            <w:tcW w:w="1461" w:type="dxa"/>
            <w:shd w:val="clear" w:color="auto" w:fill="auto"/>
            <w:vAlign w:val="center"/>
          </w:tcPr>
          <w:p w14:paraId="46B2DC3C">
            <w:pPr>
              <w:widowControl/>
              <w:jc w:val="center"/>
              <w:rPr>
                <w:rFonts w:cs="宋体" w:asciiTheme="minorEastAsia" w:hAnsiTheme="minorEastAsia" w:eastAsiaTheme="minorEastAsia"/>
                <w:color w:val="000000"/>
                <w:kern w:val="0"/>
                <w:szCs w:val="21"/>
              </w:rPr>
            </w:pPr>
          </w:p>
        </w:tc>
        <w:tc>
          <w:tcPr>
            <w:tcW w:w="1560" w:type="dxa"/>
            <w:shd w:val="clear" w:color="auto" w:fill="auto"/>
            <w:vAlign w:val="center"/>
          </w:tcPr>
          <w:p w14:paraId="5CD811DC">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2150</w:t>
            </w:r>
          </w:p>
        </w:tc>
      </w:tr>
      <w:tr w14:paraId="70A5B4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 w:hRule="atLeast"/>
          <w:jc w:val="center"/>
        </w:trPr>
        <w:tc>
          <w:tcPr>
            <w:tcW w:w="756" w:type="dxa"/>
            <w:shd w:val="clear" w:color="auto" w:fill="auto"/>
            <w:vAlign w:val="center"/>
          </w:tcPr>
          <w:p w14:paraId="318B4388">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2</w:t>
            </w:r>
          </w:p>
        </w:tc>
        <w:tc>
          <w:tcPr>
            <w:tcW w:w="1700" w:type="dxa"/>
            <w:shd w:val="clear" w:color="auto" w:fill="auto"/>
            <w:vAlign w:val="center"/>
          </w:tcPr>
          <w:p w14:paraId="72BAFA99">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总成本费用</w:t>
            </w:r>
          </w:p>
        </w:tc>
        <w:tc>
          <w:tcPr>
            <w:tcW w:w="2783" w:type="dxa"/>
            <w:shd w:val="clear" w:color="auto" w:fill="auto"/>
            <w:vAlign w:val="center"/>
          </w:tcPr>
          <w:p w14:paraId="70445A07">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年产量×单位成本</w:t>
            </w:r>
          </w:p>
        </w:tc>
        <w:tc>
          <w:tcPr>
            <w:tcW w:w="1461" w:type="dxa"/>
            <w:shd w:val="clear" w:color="auto" w:fill="auto"/>
            <w:vAlign w:val="center"/>
          </w:tcPr>
          <w:p w14:paraId="7BC53C6B">
            <w:pPr>
              <w:widowControl/>
              <w:jc w:val="center"/>
              <w:rPr>
                <w:rFonts w:cs="宋体" w:asciiTheme="minorEastAsia" w:hAnsiTheme="minorEastAsia" w:eastAsiaTheme="minorEastAsia"/>
                <w:color w:val="000000"/>
                <w:kern w:val="0"/>
                <w:szCs w:val="21"/>
              </w:rPr>
            </w:pPr>
          </w:p>
        </w:tc>
        <w:tc>
          <w:tcPr>
            <w:tcW w:w="1560" w:type="dxa"/>
            <w:shd w:val="clear" w:color="auto" w:fill="auto"/>
            <w:vAlign w:val="center"/>
          </w:tcPr>
          <w:p w14:paraId="09E17AF5">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1247</w:t>
            </w:r>
          </w:p>
        </w:tc>
      </w:tr>
      <w:tr w14:paraId="097028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 w:hRule="atLeast"/>
          <w:jc w:val="center"/>
        </w:trPr>
        <w:tc>
          <w:tcPr>
            <w:tcW w:w="756" w:type="dxa"/>
            <w:shd w:val="clear" w:color="auto" w:fill="auto"/>
            <w:vAlign w:val="center"/>
          </w:tcPr>
          <w:p w14:paraId="45390AC7">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4</w:t>
            </w:r>
          </w:p>
        </w:tc>
        <w:tc>
          <w:tcPr>
            <w:tcW w:w="1700" w:type="dxa"/>
            <w:shd w:val="clear" w:color="auto" w:fill="auto"/>
            <w:vAlign w:val="center"/>
          </w:tcPr>
          <w:p w14:paraId="1105FAFB">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增值税</w:t>
            </w:r>
          </w:p>
        </w:tc>
        <w:tc>
          <w:tcPr>
            <w:tcW w:w="2783" w:type="dxa"/>
            <w:shd w:val="clear" w:color="auto" w:fill="auto"/>
            <w:vAlign w:val="center"/>
          </w:tcPr>
          <w:p w14:paraId="0F10C185">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销项税额-进项税额</w:t>
            </w:r>
          </w:p>
        </w:tc>
        <w:tc>
          <w:tcPr>
            <w:tcW w:w="1461" w:type="dxa"/>
            <w:shd w:val="clear" w:color="auto" w:fill="auto"/>
            <w:vAlign w:val="center"/>
          </w:tcPr>
          <w:p w14:paraId="213BFFEB">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w:t>
            </w:r>
          </w:p>
        </w:tc>
        <w:tc>
          <w:tcPr>
            <w:tcW w:w="1560" w:type="dxa"/>
            <w:shd w:val="clear" w:color="auto" w:fill="auto"/>
            <w:vAlign w:val="center"/>
          </w:tcPr>
          <w:p w14:paraId="02ED671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223.6</w:t>
            </w:r>
          </w:p>
        </w:tc>
      </w:tr>
      <w:tr w14:paraId="39D3A4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65" w:hRule="atLeast"/>
          <w:jc w:val="center"/>
        </w:trPr>
        <w:tc>
          <w:tcPr>
            <w:tcW w:w="756" w:type="dxa"/>
            <w:shd w:val="clear" w:color="auto" w:fill="auto"/>
            <w:vAlign w:val="center"/>
          </w:tcPr>
          <w:p w14:paraId="67D8A3B9">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5</w:t>
            </w:r>
          </w:p>
        </w:tc>
        <w:tc>
          <w:tcPr>
            <w:tcW w:w="1700" w:type="dxa"/>
            <w:shd w:val="clear" w:color="auto" w:fill="auto"/>
            <w:vAlign w:val="center"/>
          </w:tcPr>
          <w:p w14:paraId="7BD42D8B">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城市维护建设费</w:t>
            </w:r>
          </w:p>
        </w:tc>
        <w:tc>
          <w:tcPr>
            <w:tcW w:w="2783" w:type="dxa"/>
            <w:vMerge w:val="restart"/>
            <w:shd w:val="clear" w:color="auto" w:fill="auto"/>
            <w:vAlign w:val="center"/>
          </w:tcPr>
          <w:p w14:paraId="2337F0A3">
            <w:pPr>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应交增值税额×适用税率</w:t>
            </w:r>
          </w:p>
        </w:tc>
        <w:tc>
          <w:tcPr>
            <w:tcW w:w="1461" w:type="dxa"/>
            <w:shd w:val="clear" w:color="auto" w:fill="auto"/>
            <w:vAlign w:val="center"/>
          </w:tcPr>
          <w:p w14:paraId="07D9FB9F">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5%</w:t>
            </w:r>
          </w:p>
        </w:tc>
        <w:tc>
          <w:tcPr>
            <w:tcW w:w="1560" w:type="dxa"/>
            <w:shd w:val="clear" w:color="auto" w:fill="auto"/>
            <w:vAlign w:val="center"/>
          </w:tcPr>
          <w:p w14:paraId="1C168BA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11.18</w:t>
            </w:r>
          </w:p>
        </w:tc>
      </w:tr>
      <w:tr w14:paraId="3655C1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 w:hRule="atLeast"/>
          <w:jc w:val="center"/>
        </w:trPr>
        <w:tc>
          <w:tcPr>
            <w:tcW w:w="756" w:type="dxa"/>
            <w:shd w:val="clear" w:color="auto" w:fill="auto"/>
            <w:vAlign w:val="center"/>
          </w:tcPr>
          <w:p w14:paraId="35BB49E0">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6</w:t>
            </w:r>
          </w:p>
        </w:tc>
        <w:tc>
          <w:tcPr>
            <w:tcW w:w="1700" w:type="dxa"/>
            <w:shd w:val="clear" w:color="auto" w:fill="auto"/>
            <w:vAlign w:val="center"/>
          </w:tcPr>
          <w:p w14:paraId="129E3671">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教育费附加</w:t>
            </w:r>
          </w:p>
        </w:tc>
        <w:tc>
          <w:tcPr>
            <w:tcW w:w="2783" w:type="dxa"/>
            <w:vMerge w:val="continue"/>
            <w:shd w:val="clear" w:color="auto" w:fill="auto"/>
            <w:vAlign w:val="center"/>
          </w:tcPr>
          <w:p w14:paraId="41AF1E9B">
            <w:pPr>
              <w:widowControl/>
              <w:jc w:val="center"/>
              <w:rPr>
                <w:rFonts w:cs="宋体" w:asciiTheme="minorEastAsia" w:hAnsiTheme="minorEastAsia" w:eastAsiaTheme="minorEastAsia"/>
                <w:color w:val="000000"/>
                <w:kern w:val="0"/>
                <w:szCs w:val="21"/>
              </w:rPr>
            </w:pPr>
          </w:p>
        </w:tc>
        <w:tc>
          <w:tcPr>
            <w:tcW w:w="1461" w:type="dxa"/>
            <w:shd w:val="clear" w:color="auto" w:fill="auto"/>
            <w:vAlign w:val="center"/>
          </w:tcPr>
          <w:p w14:paraId="16CA45E8">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3%</w:t>
            </w:r>
          </w:p>
        </w:tc>
        <w:tc>
          <w:tcPr>
            <w:tcW w:w="1560" w:type="dxa"/>
            <w:shd w:val="clear" w:color="auto" w:fill="auto"/>
            <w:vAlign w:val="center"/>
          </w:tcPr>
          <w:p w14:paraId="4363F440">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6.71</w:t>
            </w:r>
          </w:p>
        </w:tc>
      </w:tr>
      <w:tr w14:paraId="4E992A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65" w:hRule="atLeast"/>
          <w:jc w:val="center"/>
        </w:trPr>
        <w:tc>
          <w:tcPr>
            <w:tcW w:w="756" w:type="dxa"/>
            <w:shd w:val="clear" w:color="auto" w:fill="auto"/>
            <w:vAlign w:val="center"/>
          </w:tcPr>
          <w:p w14:paraId="5E4B015C">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7</w:t>
            </w:r>
          </w:p>
        </w:tc>
        <w:tc>
          <w:tcPr>
            <w:tcW w:w="1700" w:type="dxa"/>
            <w:shd w:val="clear" w:color="auto" w:fill="auto"/>
            <w:vAlign w:val="center"/>
          </w:tcPr>
          <w:p w14:paraId="768BE805">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地方教育费附加</w:t>
            </w:r>
          </w:p>
        </w:tc>
        <w:tc>
          <w:tcPr>
            <w:tcW w:w="2783" w:type="dxa"/>
            <w:vMerge w:val="continue"/>
            <w:shd w:val="clear" w:color="auto" w:fill="auto"/>
            <w:vAlign w:val="center"/>
          </w:tcPr>
          <w:p w14:paraId="4ABFB60D">
            <w:pPr>
              <w:widowControl/>
              <w:rPr>
                <w:rFonts w:cs="宋体" w:asciiTheme="minorEastAsia" w:hAnsiTheme="minorEastAsia" w:eastAsiaTheme="minorEastAsia"/>
                <w:color w:val="000000"/>
                <w:kern w:val="0"/>
                <w:szCs w:val="21"/>
              </w:rPr>
            </w:pPr>
          </w:p>
        </w:tc>
        <w:tc>
          <w:tcPr>
            <w:tcW w:w="1461" w:type="dxa"/>
            <w:shd w:val="clear" w:color="auto" w:fill="auto"/>
            <w:vAlign w:val="center"/>
          </w:tcPr>
          <w:p w14:paraId="65A9A0E9">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2%</w:t>
            </w:r>
          </w:p>
        </w:tc>
        <w:tc>
          <w:tcPr>
            <w:tcW w:w="1560" w:type="dxa"/>
            <w:shd w:val="clear" w:color="auto" w:fill="auto"/>
            <w:vAlign w:val="center"/>
          </w:tcPr>
          <w:p w14:paraId="1071E078">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4.47</w:t>
            </w:r>
          </w:p>
        </w:tc>
      </w:tr>
      <w:tr w14:paraId="747777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 w:hRule="atLeast"/>
          <w:jc w:val="center"/>
        </w:trPr>
        <w:tc>
          <w:tcPr>
            <w:tcW w:w="756" w:type="dxa"/>
            <w:shd w:val="clear" w:color="auto" w:fill="auto"/>
            <w:vAlign w:val="center"/>
          </w:tcPr>
          <w:p w14:paraId="2D134CC7">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8</w:t>
            </w:r>
          </w:p>
        </w:tc>
        <w:tc>
          <w:tcPr>
            <w:tcW w:w="1700" w:type="dxa"/>
            <w:shd w:val="clear" w:color="auto" w:fill="auto"/>
            <w:vAlign w:val="center"/>
          </w:tcPr>
          <w:p w14:paraId="59FBA82F">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资源税</w:t>
            </w:r>
          </w:p>
        </w:tc>
        <w:tc>
          <w:tcPr>
            <w:tcW w:w="2783" w:type="dxa"/>
            <w:shd w:val="clear" w:color="auto" w:fill="auto"/>
            <w:vAlign w:val="center"/>
          </w:tcPr>
          <w:p w14:paraId="56FD2428">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年原矿销售额×资源税税率</w:t>
            </w:r>
          </w:p>
        </w:tc>
        <w:tc>
          <w:tcPr>
            <w:tcW w:w="1461" w:type="dxa"/>
            <w:shd w:val="clear" w:color="auto" w:fill="auto"/>
            <w:vAlign w:val="center"/>
          </w:tcPr>
          <w:p w14:paraId="055E5800">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10%</w:t>
            </w:r>
          </w:p>
        </w:tc>
        <w:tc>
          <w:tcPr>
            <w:tcW w:w="1560" w:type="dxa"/>
            <w:shd w:val="clear" w:color="auto" w:fill="auto"/>
            <w:vAlign w:val="center"/>
          </w:tcPr>
          <w:p w14:paraId="6CFAF9CC">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215</w:t>
            </w:r>
          </w:p>
        </w:tc>
      </w:tr>
      <w:tr w14:paraId="48139B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 w:hRule="atLeast"/>
          <w:jc w:val="center"/>
        </w:trPr>
        <w:tc>
          <w:tcPr>
            <w:tcW w:w="756" w:type="dxa"/>
            <w:shd w:val="clear" w:color="auto" w:fill="auto"/>
            <w:vAlign w:val="center"/>
          </w:tcPr>
          <w:p w14:paraId="5835D863">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9</w:t>
            </w:r>
          </w:p>
        </w:tc>
        <w:tc>
          <w:tcPr>
            <w:tcW w:w="7504" w:type="dxa"/>
            <w:gridSpan w:val="4"/>
            <w:shd w:val="clear" w:color="auto" w:fill="auto"/>
            <w:vAlign w:val="center"/>
          </w:tcPr>
          <w:p w14:paraId="53B80CEF">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企业所得税</w:t>
            </w:r>
          </w:p>
        </w:tc>
      </w:tr>
      <w:tr w14:paraId="3A7555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37" w:hRule="atLeast"/>
          <w:jc w:val="center"/>
        </w:trPr>
        <w:tc>
          <w:tcPr>
            <w:tcW w:w="756" w:type="dxa"/>
            <w:shd w:val="clear" w:color="auto" w:fill="auto"/>
            <w:vAlign w:val="center"/>
          </w:tcPr>
          <w:p w14:paraId="491EC169">
            <w:pPr>
              <w:widowControl/>
              <w:jc w:val="center"/>
              <w:rPr>
                <w:rFonts w:asciiTheme="minorEastAsia" w:hAnsiTheme="minorEastAsia" w:eastAsiaTheme="minorEastAsia"/>
                <w:color w:val="000000"/>
                <w:kern w:val="0"/>
                <w:szCs w:val="21"/>
              </w:rPr>
            </w:pPr>
          </w:p>
        </w:tc>
        <w:tc>
          <w:tcPr>
            <w:tcW w:w="1700" w:type="dxa"/>
            <w:shd w:val="clear" w:color="auto" w:fill="auto"/>
            <w:vAlign w:val="center"/>
          </w:tcPr>
          <w:p w14:paraId="32EDD3F0">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销售税金及附加</w:t>
            </w:r>
          </w:p>
        </w:tc>
        <w:tc>
          <w:tcPr>
            <w:tcW w:w="2783" w:type="dxa"/>
            <w:shd w:val="clear" w:color="auto" w:fill="auto"/>
            <w:vAlign w:val="center"/>
          </w:tcPr>
          <w:p w14:paraId="14850E52">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城市维护建设税+教育费附加+地方教育费附加+资源税</w:t>
            </w:r>
          </w:p>
        </w:tc>
        <w:tc>
          <w:tcPr>
            <w:tcW w:w="1461" w:type="dxa"/>
            <w:shd w:val="clear" w:color="auto" w:fill="auto"/>
            <w:vAlign w:val="center"/>
          </w:tcPr>
          <w:p w14:paraId="0CEB4DA2">
            <w:pPr>
              <w:widowControl/>
              <w:jc w:val="center"/>
              <w:rPr>
                <w:rFonts w:asciiTheme="minorEastAsia" w:hAnsiTheme="minorEastAsia" w:eastAsiaTheme="minorEastAsia"/>
                <w:color w:val="000000"/>
                <w:kern w:val="0"/>
                <w:szCs w:val="21"/>
              </w:rPr>
            </w:pPr>
          </w:p>
        </w:tc>
        <w:tc>
          <w:tcPr>
            <w:tcW w:w="1560" w:type="dxa"/>
            <w:shd w:val="clear" w:color="auto" w:fill="auto"/>
            <w:vAlign w:val="center"/>
          </w:tcPr>
          <w:p w14:paraId="224A4296">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237.36</w:t>
            </w:r>
          </w:p>
        </w:tc>
      </w:tr>
      <w:tr w14:paraId="1F626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 w:hRule="atLeast"/>
          <w:jc w:val="center"/>
        </w:trPr>
        <w:tc>
          <w:tcPr>
            <w:tcW w:w="756" w:type="dxa"/>
            <w:shd w:val="clear" w:color="auto" w:fill="auto"/>
            <w:vAlign w:val="center"/>
          </w:tcPr>
          <w:p w14:paraId="4FA4CD64">
            <w:pPr>
              <w:widowControl/>
              <w:jc w:val="center"/>
              <w:rPr>
                <w:rFonts w:asciiTheme="minorEastAsia" w:hAnsiTheme="minorEastAsia" w:eastAsiaTheme="minorEastAsia"/>
                <w:color w:val="000000"/>
                <w:kern w:val="0"/>
                <w:szCs w:val="21"/>
              </w:rPr>
            </w:pPr>
          </w:p>
        </w:tc>
        <w:tc>
          <w:tcPr>
            <w:tcW w:w="1700" w:type="dxa"/>
            <w:shd w:val="clear" w:color="auto" w:fill="auto"/>
            <w:vAlign w:val="center"/>
          </w:tcPr>
          <w:p w14:paraId="76B6B3C6">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企业所得税</w:t>
            </w:r>
          </w:p>
        </w:tc>
        <w:tc>
          <w:tcPr>
            <w:tcW w:w="2783" w:type="dxa"/>
            <w:shd w:val="clear" w:color="auto" w:fill="auto"/>
            <w:vAlign w:val="center"/>
          </w:tcPr>
          <w:p w14:paraId="2003538D">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应纳税所得额×所得税税率</w:t>
            </w:r>
          </w:p>
        </w:tc>
        <w:tc>
          <w:tcPr>
            <w:tcW w:w="1461" w:type="dxa"/>
            <w:shd w:val="clear" w:color="auto" w:fill="auto"/>
            <w:vAlign w:val="center"/>
          </w:tcPr>
          <w:p w14:paraId="5B4D6D32">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25%</w:t>
            </w:r>
          </w:p>
        </w:tc>
        <w:tc>
          <w:tcPr>
            <w:tcW w:w="1560" w:type="dxa"/>
            <w:shd w:val="clear" w:color="auto" w:fill="auto"/>
            <w:vAlign w:val="center"/>
          </w:tcPr>
          <w:p w14:paraId="6F39B016">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110.51</w:t>
            </w:r>
          </w:p>
        </w:tc>
      </w:tr>
      <w:tr w14:paraId="3F006B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 w:hRule="atLeast"/>
          <w:jc w:val="center"/>
        </w:trPr>
        <w:tc>
          <w:tcPr>
            <w:tcW w:w="756" w:type="dxa"/>
            <w:shd w:val="clear" w:color="auto" w:fill="auto"/>
            <w:vAlign w:val="center"/>
          </w:tcPr>
          <w:p w14:paraId="7C1017B1">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10</w:t>
            </w:r>
          </w:p>
        </w:tc>
        <w:tc>
          <w:tcPr>
            <w:tcW w:w="7504" w:type="dxa"/>
            <w:gridSpan w:val="4"/>
            <w:shd w:val="clear" w:color="auto" w:fill="auto"/>
            <w:vAlign w:val="center"/>
          </w:tcPr>
          <w:p w14:paraId="0DD41221">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税后利润</w:t>
            </w:r>
          </w:p>
        </w:tc>
      </w:tr>
      <w:tr w14:paraId="72593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17" w:hRule="atLeast"/>
          <w:jc w:val="center"/>
        </w:trPr>
        <w:tc>
          <w:tcPr>
            <w:tcW w:w="756" w:type="dxa"/>
            <w:shd w:val="clear" w:color="auto" w:fill="auto"/>
            <w:vAlign w:val="center"/>
          </w:tcPr>
          <w:p w14:paraId="0E61020D">
            <w:pPr>
              <w:widowControl/>
              <w:jc w:val="center"/>
              <w:rPr>
                <w:rFonts w:cs="宋体" w:asciiTheme="minorEastAsia" w:hAnsiTheme="minorEastAsia" w:eastAsiaTheme="minorEastAsia"/>
                <w:color w:val="000000"/>
                <w:kern w:val="0"/>
                <w:szCs w:val="21"/>
              </w:rPr>
            </w:pPr>
          </w:p>
        </w:tc>
        <w:tc>
          <w:tcPr>
            <w:tcW w:w="1700" w:type="dxa"/>
            <w:shd w:val="clear" w:color="auto" w:fill="auto"/>
            <w:vAlign w:val="center"/>
          </w:tcPr>
          <w:p w14:paraId="5BB283E9">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企业可获得利润</w:t>
            </w:r>
          </w:p>
        </w:tc>
        <w:tc>
          <w:tcPr>
            <w:tcW w:w="2783" w:type="dxa"/>
            <w:shd w:val="clear" w:color="auto" w:fill="auto"/>
            <w:vAlign w:val="center"/>
          </w:tcPr>
          <w:p w14:paraId="10143459">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销售收入-总成本费用-销售税金及附加-企业所得税</w:t>
            </w:r>
          </w:p>
        </w:tc>
        <w:tc>
          <w:tcPr>
            <w:tcW w:w="1461" w:type="dxa"/>
            <w:shd w:val="clear" w:color="auto" w:fill="auto"/>
            <w:vAlign w:val="center"/>
          </w:tcPr>
          <w:p w14:paraId="359A452C">
            <w:pPr>
              <w:widowControl/>
              <w:jc w:val="center"/>
              <w:rPr>
                <w:rFonts w:asciiTheme="minorEastAsia" w:hAnsiTheme="minorEastAsia" w:eastAsiaTheme="minorEastAsia"/>
                <w:color w:val="000000"/>
                <w:kern w:val="0"/>
                <w:szCs w:val="21"/>
              </w:rPr>
            </w:pPr>
          </w:p>
        </w:tc>
        <w:tc>
          <w:tcPr>
            <w:tcW w:w="1560" w:type="dxa"/>
            <w:shd w:val="clear" w:color="auto" w:fill="auto"/>
            <w:vAlign w:val="center"/>
          </w:tcPr>
          <w:p w14:paraId="25965233">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555.13</w:t>
            </w:r>
          </w:p>
        </w:tc>
      </w:tr>
    </w:tbl>
    <w:p w14:paraId="12AF5EBE">
      <w:pPr>
        <w:spacing w:beforeLines="50"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矿山年销售收入2150万元，年综合成本1247万元，年税后利润555.13万元，投资回收期1.79年≈2年。</w:t>
      </w:r>
    </w:p>
    <w:p w14:paraId="56EC5800">
      <w:pPr>
        <w:spacing w:line="360" w:lineRule="auto"/>
        <w:ind w:firstLine="561"/>
        <w:rPr>
          <w:sz w:val="28"/>
          <w:szCs w:val="28"/>
        </w:rPr>
      </w:pPr>
      <w:r>
        <w:rPr>
          <w:rFonts w:hint="eastAsia"/>
          <w:sz w:val="28"/>
          <w:szCs w:val="28"/>
        </w:rPr>
        <w:t>从以上计算可知，矿山经济效益良好。从社会效益看，该项目的建设充分利用了国家矿产资源，对发展地方采矿事业、增加劳动就业、增加国地两税收入和推动地方经济发展有着积极意义。</w:t>
      </w:r>
    </w:p>
    <w:bookmarkEnd w:id="136"/>
    <w:bookmarkEnd w:id="137"/>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14:paraId="64B9710D">
      <w:pPr>
        <w:pStyle w:val="78"/>
        <w:spacing w:line="360" w:lineRule="auto"/>
        <w:ind w:firstLine="602" w:firstLineChars="200"/>
        <w:rPr>
          <w:rFonts w:ascii="宋体"/>
          <w:szCs w:val="30"/>
        </w:rPr>
      </w:pPr>
      <w:bookmarkStart w:id="185" w:name="_Toc7837"/>
      <w:r>
        <w:rPr>
          <w:rFonts w:hint="eastAsia" w:ascii="宋体"/>
          <w:szCs w:val="30"/>
        </w:rPr>
        <w:t>（二）开采方式</w:t>
      </w:r>
      <w:bookmarkEnd w:id="185"/>
    </w:p>
    <w:p w14:paraId="758F6D48">
      <w:pPr>
        <w:pStyle w:val="5"/>
        <w:spacing w:line="360" w:lineRule="auto"/>
        <w:ind w:firstLine="542" w:firstLineChars="200"/>
        <w:rPr>
          <w:rFonts w:ascii="宋体" w:hAnsi="宋体" w:cs="宋体"/>
          <w:spacing w:val="-5"/>
          <w:sz w:val="28"/>
          <w:szCs w:val="28"/>
        </w:rPr>
      </w:pPr>
      <w:r>
        <w:rPr>
          <w:rFonts w:ascii="宋体" w:hAnsi="宋体" w:cs="宋体"/>
          <w:spacing w:val="-5"/>
          <w:sz w:val="28"/>
          <w:szCs w:val="28"/>
        </w:rPr>
        <w:t>1</w:t>
      </w:r>
      <w:r>
        <w:rPr>
          <w:rFonts w:hint="eastAsia" w:ascii="宋体" w:hAnsi="宋体" w:cs="宋体"/>
          <w:spacing w:val="-5"/>
          <w:sz w:val="28"/>
          <w:szCs w:val="28"/>
        </w:rPr>
        <w:t>、开采方式的确定</w:t>
      </w:r>
    </w:p>
    <w:p w14:paraId="7051A492">
      <w:pPr>
        <w:spacing w:line="360" w:lineRule="auto"/>
        <w:ind w:firstLine="560" w:firstLineChars="200"/>
        <w:rPr>
          <w:rFonts w:ascii="宋体" w:hAnsi="宋体" w:cs="宋体"/>
          <w:sz w:val="28"/>
          <w:szCs w:val="28"/>
        </w:rPr>
      </w:pPr>
      <w:r>
        <w:rPr>
          <w:rFonts w:hint="eastAsia" w:ascii="宋体" w:hAnsi="宋体" w:cs="宋体"/>
          <w:sz w:val="28"/>
          <w:szCs w:val="28"/>
        </w:rPr>
        <w:t>1)现开采方式</w:t>
      </w:r>
    </w:p>
    <w:p w14:paraId="45E3F704">
      <w:pPr>
        <w:spacing w:line="360" w:lineRule="auto"/>
        <w:ind w:firstLine="560" w:firstLineChars="200"/>
        <w:rPr>
          <w:rFonts w:ascii="宋体" w:hAnsi="宋体" w:cs="宋体"/>
          <w:sz w:val="28"/>
          <w:szCs w:val="28"/>
        </w:rPr>
      </w:pPr>
      <w:r>
        <w:rPr>
          <w:rFonts w:hint="eastAsia" w:ascii="宋体" w:hAnsi="宋体" w:cs="宋体"/>
          <w:sz w:val="28"/>
          <w:szCs w:val="28"/>
        </w:rPr>
        <w:t>根据矿区的地形地貌和矿体赋存以及开采技术条件，同时考虑现有露天开采情况，本次方案设计沿用露天开采方式。</w:t>
      </w:r>
    </w:p>
    <w:p w14:paraId="24FE5352">
      <w:pPr>
        <w:spacing w:line="360" w:lineRule="auto"/>
        <w:ind w:firstLine="560" w:firstLineChars="200"/>
        <w:rPr>
          <w:rFonts w:ascii="宋体" w:hAnsi="宋体" w:cs="宋体"/>
          <w:sz w:val="28"/>
          <w:szCs w:val="28"/>
        </w:rPr>
      </w:pPr>
      <w:r>
        <w:rPr>
          <w:rFonts w:hint="eastAsia" w:ascii="宋体" w:hAnsi="宋体" w:cs="宋体"/>
          <w:sz w:val="28"/>
          <w:szCs w:val="28"/>
        </w:rPr>
        <w:t>2)本次设计开采方式</w:t>
      </w:r>
    </w:p>
    <w:p w14:paraId="30F297BD">
      <w:pPr>
        <w:spacing w:line="360" w:lineRule="auto"/>
        <w:ind w:firstLine="560" w:firstLineChars="200"/>
        <w:rPr>
          <w:rFonts w:ascii="宋体" w:hAnsi="宋体" w:cs="宋体"/>
          <w:sz w:val="28"/>
          <w:szCs w:val="28"/>
        </w:rPr>
      </w:pPr>
      <w:r>
        <w:rPr>
          <w:rFonts w:hint="eastAsia" w:ascii="宋体" w:hAnsi="宋体" w:cs="宋体"/>
          <w:sz w:val="28"/>
          <w:szCs w:val="28"/>
        </w:rPr>
        <w:t>①矿体赋存情况</w:t>
      </w:r>
    </w:p>
    <w:p w14:paraId="71D860E1">
      <w:pPr>
        <w:spacing w:line="360" w:lineRule="auto"/>
        <w:ind w:firstLine="560" w:firstLineChars="200"/>
        <w:rPr>
          <w:rFonts w:ascii="宋体" w:hAnsi="宋体" w:cs="宋体"/>
          <w:sz w:val="28"/>
          <w:szCs w:val="28"/>
        </w:rPr>
      </w:pPr>
      <w:r>
        <w:rPr>
          <w:rFonts w:hint="eastAsia" w:ascii="宋体" w:hAnsi="宋体" w:cs="宋体"/>
          <w:sz w:val="28"/>
          <w:szCs w:val="28"/>
        </w:rPr>
        <w:t>矿区共圈定了两种类型建筑石料用矿体，建筑用白云岩矿体厚度一般为5m～48.0m，平均厚度35.75m，厚度变化系数57.66%，矿体岩倾向走向均延深至区外，赋矿标高170～226m，埋深0～93m。建筑用石英砂岩矿体厚度一般为18.00m～50.00m，平均厚度31.73m，厚度变化系数30.94%，赋矿标高170～250m，埋深0～60m。</w:t>
      </w:r>
    </w:p>
    <w:p w14:paraId="1E1B462C">
      <w:pPr>
        <w:spacing w:line="360" w:lineRule="auto"/>
        <w:ind w:firstLine="560" w:firstLineChars="200"/>
        <w:rPr>
          <w:sz w:val="28"/>
          <w:szCs w:val="28"/>
        </w:rPr>
      </w:pPr>
      <w:r>
        <w:rPr>
          <w:rFonts w:hint="eastAsia"/>
          <w:sz w:val="28"/>
          <w:szCs w:val="28"/>
        </w:rPr>
        <w:t>从矿体分布条件分析，矿体赋存范围较大，埋藏较浅且出露地表，适合继续采用露天开采方式。</w:t>
      </w:r>
    </w:p>
    <w:p w14:paraId="10CFFF56">
      <w:pPr>
        <w:spacing w:line="360" w:lineRule="auto"/>
        <w:ind w:firstLine="560" w:firstLineChars="200"/>
        <w:rPr>
          <w:sz w:val="28"/>
          <w:szCs w:val="28"/>
        </w:rPr>
      </w:pPr>
      <w:r>
        <w:rPr>
          <w:rFonts w:hint="eastAsia"/>
          <w:sz w:val="28"/>
          <w:szCs w:val="28"/>
        </w:rPr>
        <w:t>②开采技术条件</w:t>
      </w:r>
    </w:p>
    <w:p w14:paraId="3460E0FE">
      <w:pPr>
        <w:spacing w:line="360" w:lineRule="auto"/>
        <w:ind w:firstLine="560" w:firstLineChars="200"/>
        <w:rPr>
          <w:sz w:val="28"/>
          <w:szCs w:val="28"/>
        </w:rPr>
      </w:pPr>
      <w:r>
        <w:rPr>
          <w:rFonts w:hint="eastAsia"/>
          <w:sz w:val="28"/>
          <w:szCs w:val="28"/>
        </w:rPr>
        <w:t>矿区两种类型矿体赋存标高+250m至+170mm，均位于当地侵蚀基准面标高+170m以上，地下水的补给主要来源于大气降水，地表水与主要充水含水层水力联系密切程度较小，区内主要是以基岩裂隙水为主要充水含水层，该层富水性、导水性较弱，第四系覆盖厚度不大，水文地质边界的简单，水文地质条件简单型矿床(</w:t>
      </w:r>
      <w:r>
        <w:rPr>
          <w:rFonts w:hint="eastAsia" w:ascii="宋体" w:hAnsi="宋体" w:cs="宋体"/>
          <w:sz w:val="28"/>
          <w:szCs w:val="28"/>
        </w:rPr>
        <w:t>第二类第一型</w:t>
      </w:r>
      <w:r>
        <w:rPr>
          <w:rFonts w:hint="eastAsia"/>
          <w:sz w:val="28"/>
          <w:szCs w:val="28"/>
        </w:rPr>
        <w:t>)。</w:t>
      </w:r>
    </w:p>
    <w:p w14:paraId="3744FBF9">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矿区工程地质岩组划分</w:t>
      </w:r>
      <w:r>
        <w:rPr>
          <w:rFonts w:hint="eastAsia" w:cs="宋体" w:asciiTheme="minorEastAsia" w:hAnsiTheme="minorEastAsia" w:eastAsiaTheme="minorEastAsia"/>
          <w:sz w:val="28"/>
          <w:szCs w:val="28"/>
        </w:rPr>
        <w:t>为松散岩类、层状岩类和特殊岩类工程地质岩组。深部</w:t>
      </w:r>
      <w:r>
        <w:rPr>
          <w:rFonts w:hint="eastAsia" w:asciiTheme="minorEastAsia" w:hAnsiTheme="minorEastAsia" w:eastAsiaTheme="minorEastAsia"/>
          <w:sz w:val="28"/>
          <w:szCs w:val="28"/>
        </w:rPr>
        <w:t>岩体节理裂隙发育程度，基岩岩石质量指标RQD平均值60%以上，岩石较完整，质量等级中等-好，岩矿抗压强度大于46MPa，工程地质条件复杂类型为简单型。</w:t>
      </w:r>
    </w:p>
    <w:p w14:paraId="010C4BFD">
      <w:pPr>
        <w:spacing w:line="360" w:lineRule="auto"/>
        <w:ind w:firstLine="560" w:firstLineChars="200"/>
        <w:rPr>
          <w:sz w:val="28"/>
          <w:szCs w:val="28"/>
        </w:rPr>
      </w:pPr>
      <w:r>
        <w:rPr>
          <w:rFonts w:hint="eastAsia"/>
          <w:sz w:val="28"/>
          <w:szCs w:val="28"/>
        </w:rPr>
        <w:t>矿区内未发现泥石流、滑坡、崩塌等地质灾害。原</w:t>
      </w:r>
      <w:r>
        <w:rPr>
          <w:rFonts w:hint="eastAsia" w:ascii="宋体" w:hAnsi="宋体" w:cs="宋体"/>
          <w:sz w:val="28"/>
          <w:szCs w:val="28"/>
        </w:rPr>
        <w:t>采场内底部平台标高177.8m至184.9m，上部平台宽5.8m至15.6m，标高193.41m至205.24m，最大高差约64m。预测未来矿山开采可能产生的</w:t>
      </w:r>
      <w:r>
        <w:rPr>
          <w:rFonts w:hint="eastAsia"/>
          <w:sz w:val="28"/>
          <w:szCs w:val="28"/>
        </w:rPr>
        <w:t>环境地质问题是采坑边坡失稳发生崩塌的可能，但在严格按照开发方案要求开采，对地质环境影响较小，地质环境质量为简单型。</w:t>
      </w:r>
    </w:p>
    <w:p w14:paraId="5D0E441A">
      <w:pPr>
        <w:spacing w:line="360" w:lineRule="auto"/>
        <w:ind w:firstLine="560" w:firstLineChars="200"/>
        <w:rPr>
          <w:sz w:val="28"/>
          <w:szCs w:val="28"/>
        </w:rPr>
      </w:pPr>
      <w:r>
        <w:rPr>
          <w:rFonts w:hint="eastAsia"/>
          <w:sz w:val="28"/>
          <w:szCs w:val="28"/>
        </w:rPr>
        <w:t>根据开采设计条件分析，矿山采用露天开采方式是合理的。</w:t>
      </w:r>
    </w:p>
    <w:p w14:paraId="31C935F3">
      <w:pPr>
        <w:spacing w:line="360" w:lineRule="auto"/>
        <w:ind w:firstLine="560" w:firstLineChars="200"/>
        <w:rPr>
          <w:sz w:val="28"/>
          <w:szCs w:val="28"/>
        </w:rPr>
      </w:pPr>
      <w:r>
        <w:rPr>
          <w:rFonts w:hint="eastAsia"/>
          <w:sz w:val="28"/>
          <w:szCs w:val="28"/>
        </w:rPr>
        <w:t>②经济合理剥采比</w:t>
      </w:r>
    </w:p>
    <w:p w14:paraId="0E9E1998">
      <w:pPr>
        <w:spacing w:line="360" w:lineRule="auto"/>
        <w:ind w:firstLine="560" w:firstLineChars="200"/>
        <w:rPr>
          <w:sz w:val="28"/>
          <w:szCs w:val="28"/>
        </w:rPr>
      </w:pPr>
      <w:r>
        <w:rPr>
          <w:rFonts w:hint="eastAsia"/>
          <w:sz w:val="28"/>
          <w:szCs w:val="28"/>
        </w:rPr>
        <w:t>经济合理剥采比的计算方法根据适用条件，按照价格法进行初步估算，估算公式如下：</w:t>
      </w:r>
      <w:r>
        <w:rPr>
          <w:sz w:val="28"/>
          <w:szCs w:val="28"/>
        </w:rPr>
        <w:t>n</w:t>
      </w:r>
      <w:r>
        <w:rPr>
          <w:sz w:val="28"/>
          <w:szCs w:val="28"/>
          <w:vertAlign w:val="subscript"/>
        </w:rPr>
        <w:t>jh</w:t>
      </w:r>
      <w:r>
        <w:rPr>
          <w:sz w:val="28"/>
          <w:szCs w:val="28"/>
        </w:rPr>
        <w:t>= (</w:t>
      </w:r>
      <w:r>
        <w:rPr>
          <w:rFonts w:hint="eastAsia"/>
          <w:sz w:val="28"/>
          <w:szCs w:val="28"/>
        </w:rPr>
        <w:t>d</w:t>
      </w:r>
      <w:r>
        <w:rPr>
          <w:sz w:val="28"/>
          <w:szCs w:val="28"/>
        </w:rPr>
        <w:t>-a)</w:t>
      </w:r>
      <w:r>
        <w:rPr>
          <w:rFonts w:hint="eastAsia"/>
          <w:sz w:val="28"/>
          <w:szCs w:val="28"/>
        </w:rPr>
        <w:t>/ b=</w:t>
      </w:r>
      <w:r>
        <w:rPr>
          <w:rFonts w:hint="eastAsia" w:asciiTheme="minorEastAsia" w:hAnsiTheme="minorEastAsia" w:eastAsiaTheme="minorEastAsia"/>
          <w:sz w:val="28"/>
          <w:szCs w:val="28"/>
        </w:rPr>
        <w:t>1.4</w:t>
      </w:r>
    </w:p>
    <w:p w14:paraId="17584E77">
      <w:pPr>
        <w:autoSpaceDE w:val="0"/>
        <w:autoSpaceDN w:val="0"/>
        <w:spacing w:line="360" w:lineRule="auto"/>
        <w:ind w:firstLine="560" w:firstLineChars="200"/>
        <w:jc w:val="left"/>
        <w:rPr>
          <w:rFonts w:asciiTheme="minorEastAsia" w:hAnsiTheme="minorEastAsia" w:eastAsiaTheme="minorEastAsia"/>
          <w:sz w:val="28"/>
          <w:szCs w:val="28"/>
        </w:rPr>
      </w:pPr>
      <w:r>
        <w:rPr>
          <w:rFonts w:hint="eastAsia" w:ascii="宋体" w:cs="宋体"/>
          <w:color w:val="000000"/>
          <w:kern w:val="0"/>
          <w:sz w:val="28"/>
          <w:szCs w:val="28"/>
        </w:rPr>
        <w:t>式中：</w:t>
      </w:r>
      <w:r>
        <w:rPr>
          <w:rFonts w:asciiTheme="minorEastAsia" w:hAnsiTheme="minorEastAsia" w:eastAsiaTheme="minorEastAsia"/>
          <w:sz w:val="28"/>
          <w:szCs w:val="28"/>
        </w:rPr>
        <w:t>n</w:t>
      </w:r>
      <w:r>
        <w:rPr>
          <w:rFonts w:asciiTheme="minorEastAsia" w:hAnsiTheme="minorEastAsia" w:eastAsiaTheme="minorEastAsia"/>
          <w:sz w:val="28"/>
          <w:szCs w:val="28"/>
          <w:vertAlign w:val="subscript"/>
        </w:rPr>
        <w:t>jh</w:t>
      </w:r>
      <w:r>
        <w:rPr>
          <w:rFonts w:asciiTheme="minorEastAsia" w:hAnsiTheme="minorEastAsia" w:eastAsiaTheme="minorEastAsia"/>
          <w:sz w:val="28"/>
          <w:szCs w:val="28"/>
        </w:rPr>
        <w:t>—</w:t>
      </w:r>
      <w:r>
        <w:rPr>
          <w:rFonts w:hint="eastAsia" w:asciiTheme="minorEastAsia" w:hAnsiTheme="minorEastAsia" w:eastAsiaTheme="minorEastAsia"/>
          <w:sz w:val="28"/>
          <w:szCs w:val="28"/>
        </w:rPr>
        <w:t>经济合理剥采比；</w:t>
      </w:r>
    </w:p>
    <w:p w14:paraId="47BEF0EB">
      <w:pPr>
        <w:pStyle w:val="90"/>
        <w:adjustRightInd/>
        <w:spacing w:line="360" w:lineRule="auto"/>
        <w:ind w:firstLine="1400" w:firstLineChars="500"/>
        <w:rPr>
          <w:rFonts w:cs="Times New Roman" w:asciiTheme="minorEastAsia" w:hAnsiTheme="minorEastAsia" w:eastAsiaTheme="minorEastAsia"/>
          <w:color w:val="auto"/>
          <w:kern w:val="2"/>
          <w:sz w:val="28"/>
          <w:szCs w:val="28"/>
        </w:rPr>
      </w:pPr>
      <w:bookmarkStart w:id="186" w:name="OLE_LINK2"/>
      <w:bookmarkStart w:id="187" w:name="OLE_LINK1"/>
      <w:r>
        <w:rPr>
          <w:rFonts w:cs="Times New Roman" w:asciiTheme="minorEastAsia" w:hAnsiTheme="minorEastAsia" w:eastAsiaTheme="minorEastAsia"/>
          <w:color w:val="auto"/>
          <w:kern w:val="2"/>
          <w:sz w:val="28"/>
          <w:szCs w:val="28"/>
        </w:rPr>
        <w:t>b—</w:t>
      </w:r>
      <w:r>
        <w:rPr>
          <w:rFonts w:hint="eastAsia" w:cs="Times New Roman" w:asciiTheme="minorEastAsia" w:hAnsiTheme="minorEastAsia" w:eastAsiaTheme="minorEastAsia"/>
          <w:color w:val="auto"/>
          <w:kern w:val="2"/>
          <w:sz w:val="28"/>
          <w:szCs w:val="28"/>
        </w:rPr>
        <w:t>露天开采剥离成本</w:t>
      </w:r>
      <w:r>
        <w:rPr>
          <w:rFonts w:cs="Times New Roman" w:asciiTheme="minorEastAsia" w:hAnsiTheme="minorEastAsia" w:eastAsiaTheme="minorEastAsia"/>
          <w:color w:val="auto"/>
          <w:kern w:val="2"/>
          <w:sz w:val="28"/>
          <w:szCs w:val="28"/>
        </w:rPr>
        <w:t>(</w:t>
      </w:r>
      <w:r>
        <w:rPr>
          <w:rFonts w:hint="eastAsia" w:cs="Times New Roman" w:asciiTheme="minorEastAsia" w:hAnsiTheme="minorEastAsia" w:eastAsiaTheme="minorEastAsia"/>
          <w:color w:val="auto"/>
          <w:kern w:val="2"/>
          <w:sz w:val="28"/>
          <w:szCs w:val="28"/>
        </w:rPr>
        <w:t>15元</w:t>
      </w:r>
      <w:r>
        <w:rPr>
          <w:rFonts w:cs="Times New Roman" w:asciiTheme="minorEastAsia" w:hAnsiTheme="minorEastAsia" w:eastAsiaTheme="minorEastAsia"/>
          <w:color w:val="auto"/>
          <w:kern w:val="2"/>
          <w:sz w:val="28"/>
          <w:szCs w:val="28"/>
        </w:rPr>
        <w:t>/</w:t>
      </w:r>
      <w:r>
        <w:rPr>
          <w:rFonts w:hint="eastAsia" w:cs="Times New Roman" w:asciiTheme="minorEastAsia" w:hAnsiTheme="minorEastAsia" w:eastAsiaTheme="minorEastAsia"/>
          <w:color w:val="auto"/>
          <w:kern w:val="2"/>
          <w:sz w:val="28"/>
          <w:szCs w:val="28"/>
        </w:rPr>
        <w:t>m</w:t>
      </w:r>
      <w:r>
        <w:rPr>
          <w:rFonts w:hint="eastAsia" w:cs="Times New Roman" w:asciiTheme="minorEastAsia" w:hAnsiTheme="minorEastAsia" w:eastAsiaTheme="minorEastAsia"/>
          <w:color w:val="auto"/>
          <w:kern w:val="2"/>
          <w:sz w:val="28"/>
          <w:szCs w:val="28"/>
          <w:vertAlign w:val="superscript"/>
        </w:rPr>
        <w:t>3</w:t>
      </w:r>
      <w:r>
        <w:rPr>
          <w:rFonts w:cs="Times New Roman" w:asciiTheme="minorEastAsia" w:hAnsiTheme="minorEastAsia" w:eastAsiaTheme="minorEastAsia"/>
          <w:color w:val="auto"/>
          <w:kern w:val="2"/>
          <w:sz w:val="28"/>
          <w:szCs w:val="28"/>
        </w:rPr>
        <w:t>)</w:t>
      </w:r>
      <w:r>
        <w:rPr>
          <w:rFonts w:hint="eastAsia" w:cs="Times New Roman" w:asciiTheme="minorEastAsia" w:hAnsiTheme="minorEastAsia" w:eastAsiaTheme="minorEastAsia"/>
          <w:color w:val="auto"/>
          <w:kern w:val="2"/>
          <w:sz w:val="28"/>
          <w:szCs w:val="28"/>
        </w:rPr>
        <w:t>，辽宁地区一般15-25元/m³</w:t>
      </w:r>
    </w:p>
    <w:p w14:paraId="4A9DAF7E">
      <w:pPr>
        <w:pStyle w:val="90"/>
        <w:adjustRightInd/>
        <w:spacing w:line="360" w:lineRule="auto"/>
        <w:ind w:firstLine="1400" w:firstLineChars="500"/>
        <w:rPr>
          <w:rFonts w:cs="Times New Roman" w:asciiTheme="minorEastAsia" w:hAnsiTheme="minorEastAsia" w:eastAsiaTheme="minorEastAsia"/>
          <w:color w:val="auto"/>
          <w:kern w:val="2"/>
          <w:sz w:val="28"/>
          <w:szCs w:val="28"/>
        </w:rPr>
      </w:pPr>
      <w:r>
        <w:rPr>
          <w:rFonts w:cs="Times New Roman" w:asciiTheme="minorEastAsia" w:hAnsiTheme="minorEastAsia" w:eastAsiaTheme="minorEastAsia"/>
          <w:color w:val="auto"/>
          <w:kern w:val="2"/>
          <w:sz w:val="28"/>
          <w:szCs w:val="28"/>
        </w:rPr>
        <w:t>a—</w:t>
      </w:r>
      <w:r>
        <w:rPr>
          <w:rFonts w:hint="eastAsia" w:cs="Times New Roman" w:asciiTheme="minorEastAsia" w:hAnsiTheme="minorEastAsia" w:eastAsiaTheme="minorEastAsia"/>
          <w:color w:val="auto"/>
          <w:kern w:val="2"/>
          <w:sz w:val="28"/>
          <w:szCs w:val="28"/>
        </w:rPr>
        <w:t>露天开采采矿成本</w:t>
      </w:r>
      <w:r>
        <w:rPr>
          <w:rFonts w:cs="Times New Roman" w:asciiTheme="minorEastAsia" w:hAnsiTheme="minorEastAsia" w:eastAsiaTheme="minorEastAsia"/>
          <w:color w:val="auto"/>
          <w:kern w:val="2"/>
          <w:sz w:val="28"/>
          <w:szCs w:val="28"/>
        </w:rPr>
        <w:t>(</w:t>
      </w:r>
      <w:r>
        <w:rPr>
          <w:rFonts w:hint="eastAsia" w:cs="Times New Roman" w:asciiTheme="minorEastAsia" w:hAnsiTheme="minorEastAsia" w:eastAsiaTheme="minorEastAsia"/>
          <w:color w:val="auto"/>
          <w:kern w:val="2"/>
          <w:sz w:val="28"/>
          <w:szCs w:val="28"/>
        </w:rPr>
        <w:t>29元</w:t>
      </w:r>
      <w:r>
        <w:rPr>
          <w:rFonts w:cs="Times New Roman" w:asciiTheme="minorEastAsia" w:hAnsiTheme="minorEastAsia" w:eastAsiaTheme="minorEastAsia"/>
          <w:color w:val="auto"/>
          <w:kern w:val="2"/>
          <w:sz w:val="28"/>
          <w:szCs w:val="28"/>
        </w:rPr>
        <w:t>/</w:t>
      </w:r>
      <w:r>
        <w:rPr>
          <w:rFonts w:hint="eastAsia" w:cs="Times New Roman" w:asciiTheme="minorEastAsia" w:hAnsiTheme="minorEastAsia" w:eastAsiaTheme="minorEastAsia"/>
          <w:color w:val="auto"/>
          <w:kern w:val="2"/>
          <w:sz w:val="28"/>
          <w:szCs w:val="28"/>
        </w:rPr>
        <w:t>m</w:t>
      </w:r>
      <w:r>
        <w:rPr>
          <w:rFonts w:hint="eastAsia" w:cs="Times New Roman" w:asciiTheme="minorEastAsia" w:hAnsiTheme="minorEastAsia" w:eastAsiaTheme="minorEastAsia"/>
          <w:color w:val="auto"/>
          <w:kern w:val="2"/>
          <w:sz w:val="28"/>
          <w:szCs w:val="28"/>
          <w:vertAlign w:val="superscript"/>
        </w:rPr>
        <w:t>3</w:t>
      </w:r>
      <w:r>
        <w:rPr>
          <w:rFonts w:cs="Times New Roman" w:asciiTheme="minorEastAsia" w:hAnsiTheme="minorEastAsia" w:eastAsiaTheme="minorEastAsia"/>
          <w:color w:val="auto"/>
          <w:kern w:val="2"/>
          <w:sz w:val="28"/>
          <w:szCs w:val="28"/>
        </w:rPr>
        <w:t>)</w:t>
      </w:r>
      <w:r>
        <w:rPr>
          <w:rFonts w:hint="eastAsia" w:cs="Times New Roman" w:asciiTheme="minorEastAsia" w:hAnsiTheme="minorEastAsia" w:eastAsiaTheme="minorEastAsia"/>
          <w:color w:val="auto"/>
          <w:kern w:val="2"/>
          <w:sz w:val="28"/>
          <w:szCs w:val="28"/>
        </w:rPr>
        <w:t>，辽宁地区一般15-35元/m³</w:t>
      </w:r>
    </w:p>
    <w:p w14:paraId="581EE363">
      <w:pPr>
        <w:spacing w:line="360" w:lineRule="auto"/>
        <w:ind w:firstLine="1400" w:firstLineChars="5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d</w:t>
      </w:r>
      <w:r>
        <w:rPr>
          <w:rFonts w:asciiTheme="minorEastAsia" w:hAnsiTheme="minorEastAsia" w:eastAsiaTheme="minorEastAsia"/>
          <w:sz w:val="28"/>
          <w:szCs w:val="28"/>
        </w:rPr>
        <w:t>—</w:t>
      </w:r>
      <w:r>
        <w:rPr>
          <w:rFonts w:hint="eastAsia" w:asciiTheme="minorEastAsia" w:hAnsiTheme="minorEastAsia" w:eastAsiaTheme="minorEastAsia"/>
          <w:sz w:val="28"/>
          <w:szCs w:val="28"/>
        </w:rPr>
        <w:t>矿石销售的价格</w:t>
      </w:r>
      <w:r>
        <w:rPr>
          <w:rFonts w:asciiTheme="minorEastAsia" w:hAnsiTheme="minorEastAsia" w:eastAsiaTheme="minorEastAsia"/>
          <w:sz w:val="28"/>
          <w:szCs w:val="28"/>
        </w:rPr>
        <w:t>(</w:t>
      </w:r>
      <w:r>
        <w:rPr>
          <w:rFonts w:hint="eastAsia" w:asciiTheme="minorEastAsia" w:hAnsiTheme="minorEastAsia" w:eastAsiaTheme="minorEastAsia"/>
          <w:sz w:val="28"/>
          <w:szCs w:val="28"/>
        </w:rPr>
        <w:t>50元</w:t>
      </w:r>
      <w:r>
        <w:rPr>
          <w:rFonts w:asciiTheme="minorEastAsia" w:hAnsiTheme="minorEastAsia" w:eastAsiaTheme="minorEastAsia"/>
          <w:sz w:val="28"/>
          <w:szCs w:val="28"/>
        </w:rPr>
        <w:t>/</w:t>
      </w:r>
      <w:r>
        <w:rPr>
          <w:rFonts w:hint="eastAsia" w:asciiTheme="minorEastAsia" w:hAnsiTheme="minorEastAsia" w:eastAsiaTheme="minorEastAsia"/>
          <w:sz w:val="28"/>
          <w:szCs w:val="28"/>
        </w:rPr>
        <w:t>m</w:t>
      </w:r>
      <w:r>
        <w:rPr>
          <w:rFonts w:hint="eastAsia" w:asciiTheme="minorEastAsia" w:hAnsiTheme="minorEastAsia" w:eastAsiaTheme="minorEastAsia"/>
          <w:sz w:val="28"/>
          <w:szCs w:val="28"/>
          <w:vertAlign w:val="superscript"/>
        </w:rPr>
        <w:t>3</w:t>
      </w:r>
      <w:r>
        <w:rPr>
          <w:rFonts w:asciiTheme="minorEastAsia" w:hAnsiTheme="minorEastAsia" w:eastAsiaTheme="minorEastAsia"/>
          <w:sz w:val="28"/>
          <w:szCs w:val="28"/>
        </w:rPr>
        <w:t>)</w:t>
      </w:r>
      <w:r>
        <w:rPr>
          <w:rFonts w:hint="eastAsia" w:asciiTheme="minorEastAsia" w:hAnsiTheme="minorEastAsia" w:eastAsiaTheme="minorEastAsia"/>
          <w:sz w:val="28"/>
          <w:szCs w:val="28"/>
        </w:rPr>
        <w:t>，辽宁地区一般50-120元/m³</w:t>
      </w:r>
    </w:p>
    <w:bookmarkEnd w:id="186"/>
    <w:bookmarkEnd w:id="187"/>
    <w:p w14:paraId="5AE5CB60">
      <w:pPr>
        <w:spacing w:line="360" w:lineRule="auto"/>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综上所述，设计采用一套露天开采系统开采矿区内的建筑用白云岩和石英砂岩矿体。</w:t>
      </w:r>
    </w:p>
    <w:p w14:paraId="4A286394">
      <w:pPr>
        <w:pStyle w:val="5"/>
        <w:spacing w:line="360" w:lineRule="auto"/>
        <w:ind w:firstLine="542" w:firstLineChars="200"/>
        <w:rPr>
          <w:rFonts w:ascii="宋体" w:hAnsi="宋体" w:cs="宋体"/>
          <w:spacing w:val="-5"/>
          <w:sz w:val="28"/>
          <w:szCs w:val="28"/>
        </w:rPr>
      </w:pPr>
      <w:bookmarkStart w:id="188" w:name="_Toc6184"/>
      <w:bookmarkStart w:id="189" w:name="_Toc5621"/>
      <w:bookmarkStart w:id="190" w:name="_Toc1819"/>
      <w:bookmarkStart w:id="191" w:name="_Toc394921578"/>
      <w:r>
        <w:rPr>
          <w:rFonts w:hint="eastAsia" w:ascii="宋体" w:hAnsi="宋体" w:cs="宋体"/>
          <w:spacing w:val="-5"/>
          <w:sz w:val="28"/>
          <w:szCs w:val="28"/>
        </w:rPr>
        <w:t>2、开采顺序</w:t>
      </w:r>
      <w:bookmarkEnd w:id="188"/>
      <w:bookmarkEnd w:id="189"/>
    </w:p>
    <w:p w14:paraId="4335CCCB">
      <w:pPr>
        <w:spacing w:line="360" w:lineRule="auto"/>
        <w:ind w:firstLine="560" w:firstLineChars="200"/>
        <w:rPr>
          <w:sz w:val="28"/>
          <w:szCs w:val="28"/>
        </w:rPr>
      </w:pPr>
      <w:r>
        <w:rPr>
          <w:rFonts w:hint="eastAsia"/>
          <w:sz w:val="28"/>
          <w:szCs w:val="28"/>
        </w:rPr>
        <w:t>设计自东南向西北，自上而下分台阶开采。在露天开采境界内根据采场地形条件、矿体出露情况、矿体走向进行开拓运输系统的布置，采用台阶开采形成较长的采剥工作线，创造扇形采剥作业面进行开采。</w:t>
      </w:r>
    </w:p>
    <w:p w14:paraId="171BC4F0">
      <w:pPr>
        <w:pStyle w:val="5"/>
        <w:spacing w:line="360" w:lineRule="auto"/>
        <w:ind w:firstLine="542" w:firstLineChars="200"/>
        <w:rPr>
          <w:rFonts w:ascii="宋体" w:hAnsi="宋体" w:cs="宋体"/>
          <w:spacing w:val="-5"/>
          <w:sz w:val="28"/>
          <w:szCs w:val="28"/>
        </w:rPr>
      </w:pPr>
      <w:bookmarkStart w:id="192" w:name="_Toc29783"/>
      <w:bookmarkStart w:id="193" w:name="_Toc17349"/>
      <w:r>
        <w:rPr>
          <w:rFonts w:hint="eastAsia" w:ascii="宋体" w:hAnsi="宋体" w:cs="宋体"/>
          <w:spacing w:val="-5"/>
          <w:sz w:val="28"/>
          <w:szCs w:val="28"/>
        </w:rPr>
        <w:t>3、露天开采境界</w:t>
      </w:r>
      <w:bookmarkEnd w:id="190"/>
      <w:bookmarkEnd w:id="191"/>
      <w:bookmarkEnd w:id="192"/>
      <w:bookmarkEnd w:id="193"/>
    </w:p>
    <w:p w14:paraId="3D1520DD">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（1）露天开采境界原则</w:t>
      </w:r>
    </w:p>
    <w:p w14:paraId="10438E20">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1）依法划定的矿区范围和开采深度为依据；</w:t>
      </w:r>
    </w:p>
    <w:p w14:paraId="0F538A60">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2）充分合理利用矿产资源；</w:t>
      </w:r>
    </w:p>
    <w:p w14:paraId="1B429925">
      <w:pPr>
        <w:spacing w:line="360" w:lineRule="auto"/>
        <w:ind w:firstLine="560" w:firstLineChars="200"/>
        <w:rPr>
          <w:rFonts w:asciiTheme="minorEastAsia" w:hAnsiTheme="minorEastAsia" w:eastAsiaTheme="minorEastAsia"/>
          <w:sz w:val="28"/>
          <w:szCs w:val="28"/>
        </w:rPr>
      </w:pPr>
      <w:r>
        <w:rPr>
          <w:rFonts w:hint="eastAsia" w:cs="宋体" w:asciiTheme="minorEastAsia" w:hAnsiTheme="minorEastAsia" w:eastAsiaTheme="minorEastAsia"/>
          <w:sz w:val="28"/>
          <w:szCs w:val="28"/>
        </w:rPr>
        <w:t>3）开采境界内的剥采比不大于经济合理剥采比，</w:t>
      </w:r>
      <w:r>
        <w:rPr>
          <w:rFonts w:hint="eastAsia" w:asciiTheme="minorEastAsia" w:hAnsiTheme="minorEastAsia" w:eastAsiaTheme="minorEastAsia"/>
          <w:sz w:val="28"/>
          <w:szCs w:val="28"/>
        </w:rPr>
        <w:t>并按平均剥采比与生产剥采比进行校核；</w:t>
      </w:r>
    </w:p>
    <w:p w14:paraId="11A40437">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①经济合理剥采比</w:t>
      </w:r>
    </w:p>
    <w:p w14:paraId="5A50EF11">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经计算，经济合理剥采比为1.4m³/m³。</w:t>
      </w:r>
    </w:p>
    <w:p w14:paraId="7C643773">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②境界剥采比</w:t>
      </w:r>
    </w:p>
    <w:p w14:paraId="341F62BA">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计算公式：N</w:t>
      </w:r>
      <w:r>
        <w:rPr>
          <w:rFonts w:hint="eastAsia" w:cs="宋体" w:asciiTheme="minorEastAsia" w:hAnsiTheme="minorEastAsia" w:eastAsiaTheme="minorEastAsia"/>
          <w:sz w:val="28"/>
          <w:szCs w:val="28"/>
          <w:vertAlign w:val="subscript"/>
        </w:rPr>
        <w:t>境</w:t>
      </w:r>
      <w:r>
        <w:rPr>
          <w:rFonts w:hint="eastAsia" w:cs="宋体" w:asciiTheme="minorEastAsia" w:hAnsiTheme="minorEastAsia" w:eastAsiaTheme="minorEastAsia"/>
          <w:sz w:val="28"/>
          <w:szCs w:val="28"/>
        </w:rPr>
        <w:t>=ΔV/ΔA=1.16</w:t>
      </w:r>
      <w:r>
        <w:rPr>
          <w:rFonts w:hint="eastAsia" w:cs="宋体" w:asciiTheme="minorEastAsia" w:hAnsiTheme="minorEastAsia" w:eastAsiaTheme="minorEastAsia"/>
          <w:color w:val="000000"/>
          <w:kern w:val="0"/>
          <w:sz w:val="28"/>
          <w:szCs w:val="28"/>
        </w:rPr>
        <w:t>＜</w:t>
      </w:r>
      <w:r>
        <w:rPr>
          <w:rFonts w:cs="宋体 .瑨" w:asciiTheme="minorEastAsia" w:hAnsiTheme="minorEastAsia" w:eastAsiaTheme="minorEastAsia"/>
          <w:color w:val="000000"/>
          <w:kern w:val="0"/>
          <w:sz w:val="28"/>
          <w:szCs w:val="28"/>
        </w:rPr>
        <w:t>1.</w:t>
      </w:r>
      <w:r>
        <w:rPr>
          <w:rFonts w:hint="eastAsia" w:cs="宋体 .瑨" w:asciiTheme="minorEastAsia" w:hAnsiTheme="minorEastAsia" w:eastAsiaTheme="minorEastAsia"/>
          <w:color w:val="000000"/>
          <w:kern w:val="0"/>
          <w:sz w:val="28"/>
          <w:szCs w:val="28"/>
        </w:rPr>
        <w:t>4</w:t>
      </w:r>
    </w:p>
    <w:p w14:paraId="2531D400">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式中：N</w:t>
      </w:r>
      <w:r>
        <w:rPr>
          <w:rFonts w:hint="eastAsia" w:cs="宋体" w:asciiTheme="minorEastAsia" w:hAnsiTheme="minorEastAsia" w:eastAsiaTheme="minorEastAsia"/>
          <w:sz w:val="28"/>
          <w:szCs w:val="28"/>
          <w:vertAlign w:val="subscript"/>
        </w:rPr>
        <w:t>境</w:t>
      </w:r>
      <w:r>
        <w:rPr>
          <w:rFonts w:hint="eastAsia" w:cs="宋体" w:asciiTheme="minorEastAsia" w:hAnsiTheme="minorEastAsia" w:eastAsiaTheme="minorEastAsia"/>
          <w:sz w:val="28"/>
          <w:szCs w:val="28"/>
        </w:rPr>
        <w:t>—境界剥采比，m</w:t>
      </w:r>
      <w:r>
        <w:rPr>
          <w:rFonts w:hint="eastAsia" w:cs="宋体" w:asciiTheme="minorEastAsia" w:hAnsiTheme="minorEastAsia" w:eastAsiaTheme="minorEastAsia"/>
          <w:sz w:val="28"/>
          <w:szCs w:val="28"/>
          <w:vertAlign w:val="superscript"/>
        </w:rPr>
        <w:t>3</w:t>
      </w:r>
      <w:r>
        <w:rPr>
          <w:rFonts w:hint="eastAsia" w:cs="宋体" w:asciiTheme="minorEastAsia" w:hAnsiTheme="minorEastAsia" w:eastAsiaTheme="minorEastAsia"/>
          <w:sz w:val="28"/>
          <w:szCs w:val="28"/>
        </w:rPr>
        <w:t>/m</w:t>
      </w:r>
      <w:r>
        <w:rPr>
          <w:rFonts w:hint="eastAsia" w:cs="宋体" w:asciiTheme="minorEastAsia" w:hAnsiTheme="minorEastAsia" w:eastAsiaTheme="minorEastAsia"/>
          <w:sz w:val="28"/>
          <w:szCs w:val="28"/>
          <w:vertAlign w:val="superscript"/>
        </w:rPr>
        <w:t>3</w:t>
      </w:r>
      <w:r>
        <w:rPr>
          <w:rFonts w:hint="eastAsia" w:cs="宋体" w:asciiTheme="minorEastAsia" w:hAnsiTheme="minorEastAsia" w:eastAsiaTheme="minorEastAsia"/>
          <w:sz w:val="28"/>
          <w:szCs w:val="28"/>
        </w:rPr>
        <w:t>；</w:t>
      </w:r>
    </w:p>
    <w:p w14:paraId="5208DC92">
      <w:pPr>
        <w:spacing w:line="360" w:lineRule="auto"/>
        <w:ind w:firstLine="1260" w:firstLineChars="45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△V—当境界延深△h时增加的岩石量，210m 78.91万m</w:t>
      </w:r>
      <w:r>
        <w:rPr>
          <w:rFonts w:hint="eastAsia" w:cs="宋体" w:asciiTheme="minorEastAsia" w:hAnsiTheme="minorEastAsia" w:eastAsiaTheme="minorEastAsia"/>
          <w:sz w:val="28"/>
          <w:szCs w:val="28"/>
          <w:vertAlign w:val="superscript"/>
        </w:rPr>
        <w:t>3</w:t>
      </w:r>
      <w:r>
        <w:rPr>
          <w:rFonts w:hint="eastAsia" w:cs="宋体" w:asciiTheme="minorEastAsia" w:hAnsiTheme="minorEastAsia" w:eastAsiaTheme="minorEastAsia"/>
          <w:sz w:val="28"/>
          <w:szCs w:val="28"/>
        </w:rPr>
        <w:t>；</w:t>
      </w:r>
    </w:p>
    <w:p w14:paraId="620E205D">
      <w:pPr>
        <w:spacing w:line="360" w:lineRule="auto"/>
        <w:ind w:firstLine="1260" w:firstLineChars="45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△A—当境界延深△h时增加的矿石量，210m 67.85万m</w:t>
      </w:r>
      <w:r>
        <w:rPr>
          <w:rFonts w:hint="eastAsia" w:cs="宋体" w:asciiTheme="minorEastAsia" w:hAnsiTheme="minorEastAsia" w:eastAsiaTheme="minorEastAsia"/>
          <w:sz w:val="28"/>
          <w:szCs w:val="28"/>
          <w:vertAlign w:val="superscript"/>
        </w:rPr>
        <w:t>3</w:t>
      </w:r>
      <w:r>
        <w:rPr>
          <w:rFonts w:hint="eastAsia" w:cs="宋体" w:asciiTheme="minorEastAsia" w:hAnsiTheme="minorEastAsia" w:eastAsiaTheme="minorEastAsia"/>
          <w:sz w:val="28"/>
          <w:szCs w:val="28"/>
        </w:rPr>
        <w:t>；</w:t>
      </w:r>
    </w:p>
    <w:p w14:paraId="41CE5228">
      <w:pPr>
        <w:autoSpaceDE w:val="0"/>
        <w:autoSpaceDN w:val="0"/>
        <w:spacing w:line="360" w:lineRule="auto"/>
        <w:ind w:firstLine="560" w:firstLineChars="200"/>
        <w:jc w:val="left"/>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③平均剥采比</w:t>
      </w:r>
    </w:p>
    <w:p w14:paraId="52D0EBD2">
      <w:pPr>
        <w:autoSpaceDE w:val="0"/>
        <w:autoSpaceDN w:val="0"/>
        <w:spacing w:line="360" w:lineRule="auto"/>
        <w:ind w:firstLine="560" w:firstLineChars="200"/>
        <w:jc w:val="left"/>
        <w:rPr>
          <w:rFonts w:cs="宋体 .瑨" w:asciiTheme="minorEastAsia" w:hAnsiTheme="minorEastAsia" w:eastAsiaTheme="minorEastAsia"/>
          <w:color w:val="000000"/>
          <w:kern w:val="0"/>
          <w:sz w:val="28"/>
          <w:szCs w:val="28"/>
        </w:rPr>
      </w:pPr>
      <w:r>
        <w:rPr>
          <w:rFonts w:cs="Cambria Math" w:asciiTheme="minorEastAsia" w:hAnsiTheme="minorEastAsia" w:eastAsiaTheme="minorEastAsia"/>
          <w:color w:val="000000"/>
          <w:kern w:val="0"/>
          <w:sz w:val="28"/>
          <w:szCs w:val="28"/>
        </w:rPr>
        <w:t>计算公式：N</w:t>
      </w:r>
      <w:r>
        <w:rPr>
          <w:rFonts w:hint="eastAsia" w:cs="宋体" w:asciiTheme="minorEastAsia" w:hAnsiTheme="minorEastAsia" w:eastAsiaTheme="minorEastAsia"/>
          <w:color w:val="000000"/>
          <w:kern w:val="0"/>
          <w:sz w:val="28"/>
          <w:szCs w:val="28"/>
          <w:vertAlign w:val="subscript"/>
        </w:rPr>
        <w:t>平均</w:t>
      </w:r>
      <w:r>
        <w:rPr>
          <w:rFonts w:cs="Cambria Math" w:asciiTheme="minorEastAsia" w:hAnsiTheme="minorEastAsia" w:eastAsiaTheme="minorEastAsia"/>
          <w:color w:val="000000"/>
          <w:kern w:val="0"/>
          <w:sz w:val="28"/>
          <w:szCs w:val="28"/>
        </w:rPr>
        <w:t>=V</w:t>
      </w:r>
      <w:r>
        <w:rPr>
          <w:rFonts w:hint="eastAsia" w:cs="Cambria Math" w:asciiTheme="minorEastAsia" w:hAnsiTheme="minorEastAsia" w:eastAsiaTheme="minorEastAsia"/>
          <w:color w:val="000000"/>
          <w:kern w:val="0"/>
          <w:sz w:val="28"/>
          <w:szCs w:val="28"/>
        </w:rPr>
        <w:t>/</w:t>
      </w:r>
      <w:r>
        <w:rPr>
          <w:rFonts w:cs="Cambria Math" w:asciiTheme="minorEastAsia" w:hAnsiTheme="minorEastAsia" w:eastAsiaTheme="minorEastAsia"/>
          <w:color w:val="000000"/>
          <w:kern w:val="0"/>
          <w:sz w:val="28"/>
          <w:szCs w:val="28"/>
        </w:rPr>
        <w:t>A</w:t>
      </w:r>
      <w:r>
        <w:rPr>
          <w:rFonts w:hint="eastAsia" w:cs="宋体 .瑨" w:asciiTheme="minorEastAsia" w:hAnsiTheme="minorEastAsia" w:eastAsiaTheme="minorEastAsia"/>
          <w:color w:val="000000"/>
          <w:kern w:val="0"/>
          <w:sz w:val="28"/>
          <w:szCs w:val="28"/>
        </w:rPr>
        <w:t>=150.24/426.06=0.35</w:t>
      </w:r>
    </w:p>
    <w:p w14:paraId="6F294835">
      <w:pPr>
        <w:autoSpaceDE w:val="0"/>
        <w:autoSpaceDN w:val="0"/>
        <w:spacing w:line="360" w:lineRule="auto"/>
        <w:ind w:firstLine="560" w:firstLineChars="200"/>
        <w:jc w:val="left"/>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式中：</w:t>
      </w:r>
      <w:r>
        <w:rPr>
          <w:rFonts w:cs="宋体 .瑨" w:asciiTheme="minorEastAsia" w:hAnsiTheme="minorEastAsia" w:eastAsiaTheme="minorEastAsia"/>
          <w:color w:val="000000"/>
          <w:kern w:val="0"/>
          <w:sz w:val="28"/>
          <w:szCs w:val="28"/>
        </w:rPr>
        <w:t>N</w:t>
      </w:r>
      <w:r>
        <w:rPr>
          <w:rFonts w:hint="eastAsia" w:cs="宋体" w:asciiTheme="minorEastAsia" w:hAnsiTheme="minorEastAsia" w:eastAsiaTheme="minorEastAsia"/>
          <w:color w:val="000000"/>
          <w:kern w:val="0"/>
          <w:sz w:val="28"/>
          <w:szCs w:val="28"/>
          <w:vertAlign w:val="subscript"/>
        </w:rPr>
        <w:t>平均</w:t>
      </w:r>
      <w:r>
        <w:rPr>
          <w:rFonts w:cs="宋体 .瑨" w:asciiTheme="minorEastAsia" w:hAnsiTheme="minorEastAsia" w:eastAsiaTheme="minorEastAsia"/>
          <w:color w:val="000000"/>
          <w:kern w:val="0"/>
          <w:sz w:val="28"/>
          <w:szCs w:val="28"/>
        </w:rPr>
        <w:t>—</w:t>
      </w:r>
      <w:r>
        <w:rPr>
          <w:rFonts w:hint="eastAsia" w:cs="宋体" w:asciiTheme="minorEastAsia" w:hAnsiTheme="minorEastAsia" w:eastAsiaTheme="minorEastAsia"/>
          <w:color w:val="000000"/>
          <w:kern w:val="0"/>
          <w:sz w:val="28"/>
          <w:szCs w:val="28"/>
        </w:rPr>
        <w:t>平均剥采比（</w:t>
      </w:r>
      <w:r>
        <w:rPr>
          <w:rFonts w:cs="宋体 .瑨" w:asciiTheme="minorEastAsia" w:hAnsiTheme="minorEastAsia" w:eastAsiaTheme="minorEastAsia"/>
          <w:color w:val="000000"/>
          <w:kern w:val="0"/>
          <w:sz w:val="28"/>
          <w:szCs w:val="28"/>
        </w:rPr>
        <w:t>m</w:t>
      </w:r>
      <w:r>
        <w:rPr>
          <w:rFonts w:cs="宋体 .瑨" w:asciiTheme="minorEastAsia" w:hAnsiTheme="minorEastAsia" w:eastAsiaTheme="minorEastAsia"/>
          <w:color w:val="000000"/>
          <w:kern w:val="0"/>
          <w:sz w:val="28"/>
          <w:szCs w:val="28"/>
          <w:vertAlign w:val="superscript"/>
        </w:rPr>
        <w:t>3</w:t>
      </w:r>
      <w:r>
        <w:rPr>
          <w:rFonts w:cs="宋体 .瑨" w:asciiTheme="minorEastAsia" w:hAnsiTheme="minorEastAsia" w:eastAsiaTheme="minorEastAsia"/>
          <w:color w:val="000000"/>
          <w:kern w:val="0"/>
          <w:sz w:val="28"/>
          <w:szCs w:val="28"/>
        </w:rPr>
        <w:t>/m</w:t>
      </w:r>
      <w:r>
        <w:rPr>
          <w:rFonts w:cs="宋体 .瑨" w:asciiTheme="minorEastAsia" w:hAnsiTheme="minorEastAsia" w:eastAsiaTheme="minorEastAsia"/>
          <w:color w:val="000000"/>
          <w:kern w:val="0"/>
          <w:sz w:val="28"/>
          <w:szCs w:val="28"/>
          <w:vertAlign w:val="superscript"/>
        </w:rPr>
        <w:t>3</w:t>
      </w:r>
      <w:r>
        <w:rPr>
          <w:rFonts w:hint="eastAsia" w:cs="宋体" w:asciiTheme="minorEastAsia" w:hAnsiTheme="minorEastAsia" w:eastAsiaTheme="minorEastAsia"/>
          <w:color w:val="000000"/>
          <w:kern w:val="0"/>
          <w:sz w:val="28"/>
          <w:szCs w:val="28"/>
        </w:rPr>
        <w:t>）；</w:t>
      </w:r>
      <w:r>
        <w:rPr>
          <w:rFonts w:cs="宋体" w:asciiTheme="minorEastAsia" w:hAnsiTheme="minorEastAsia" w:eastAsiaTheme="minorEastAsia"/>
          <w:color w:val="000000"/>
          <w:kern w:val="0"/>
          <w:sz w:val="28"/>
          <w:szCs w:val="28"/>
        </w:rPr>
        <w:t>V</w:t>
      </w:r>
      <w:r>
        <w:rPr>
          <w:rFonts w:cs="宋体 .瑨" w:asciiTheme="minorEastAsia" w:hAnsiTheme="minorEastAsia" w:eastAsiaTheme="minorEastAsia"/>
          <w:color w:val="000000"/>
          <w:kern w:val="0"/>
          <w:sz w:val="28"/>
          <w:szCs w:val="28"/>
        </w:rPr>
        <w:t>—</w:t>
      </w:r>
      <w:r>
        <w:rPr>
          <w:rFonts w:hint="eastAsia" w:cs="宋体" w:asciiTheme="minorEastAsia" w:hAnsiTheme="minorEastAsia" w:eastAsiaTheme="minorEastAsia"/>
          <w:color w:val="000000"/>
          <w:kern w:val="0"/>
          <w:sz w:val="28"/>
          <w:szCs w:val="28"/>
        </w:rPr>
        <w:t>境界内岩土量（万</w:t>
      </w:r>
      <w:r>
        <w:rPr>
          <w:rFonts w:cs="宋体 .瑨" w:asciiTheme="minorEastAsia" w:hAnsiTheme="minorEastAsia" w:eastAsiaTheme="minorEastAsia"/>
          <w:color w:val="000000"/>
          <w:kern w:val="0"/>
          <w:sz w:val="28"/>
          <w:szCs w:val="28"/>
        </w:rPr>
        <w:t>m</w:t>
      </w:r>
      <w:r>
        <w:rPr>
          <w:rFonts w:cs="宋体 .瑨" w:asciiTheme="minorEastAsia" w:hAnsiTheme="minorEastAsia" w:eastAsiaTheme="minorEastAsia"/>
          <w:color w:val="000000"/>
          <w:kern w:val="0"/>
          <w:sz w:val="28"/>
          <w:szCs w:val="28"/>
          <w:vertAlign w:val="superscript"/>
        </w:rPr>
        <w:t>3</w:t>
      </w:r>
      <w:r>
        <w:rPr>
          <w:rFonts w:hint="eastAsia" w:cs="宋体" w:asciiTheme="minorEastAsia" w:hAnsiTheme="minorEastAsia" w:eastAsiaTheme="minorEastAsia"/>
          <w:color w:val="000000"/>
          <w:kern w:val="0"/>
          <w:sz w:val="28"/>
          <w:szCs w:val="28"/>
        </w:rPr>
        <w:t>）；</w:t>
      </w:r>
    </w:p>
    <w:p w14:paraId="417240B5">
      <w:pPr>
        <w:autoSpaceDE w:val="0"/>
        <w:autoSpaceDN w:val="0"/>
        <w:spacing w:line="360" w:lineRule="auto"/>
        <w:ind w:firstLine="1400" w:firstLineChars="500"/>
        <w:jc w:val="left"/>
        <w:rPr>
          <w:rFonts w:cs="宋体" w:asciiTheme="minorEastAsia" w:hAnsiTheme="minorEastAsia" w:eastAsiaTheme="minorEastAsia"/>
          <w:color w:val="000000"/>
          <w:kern w:val="0"/>
          <w:sz w:val="28"/>
          <w:szCs w:val="28"/>
        </w:rPr>
      </w:pPr>
      <w:r>
        <w:rPr>
          <w:rFonts w:cs="宋体 .瑨" w:asciiTheme="minorEastAsia" w:hAnsiTheme="minorEastAsia" w:eastAsiaTheme="minorEastAsia"/>
          <w:color w:val="000000"/>
          <w:kern w:val="0"/>
          <w:sz w:val="28"/>
          <w:szCs w:val="28"/>
        </w:rPr>
        <w:t>A—</w:t>
      </w:r>
      <w:r>
        <w:rPr>
          <w:rFonts w:hint="eastAsia" w:cs="宋体" w:asciiTheme="minorEastAsia" w:hAnsiTheme="minorEastAsia" w:eastAsiaTheme="minorEastAsia"/>
          <w:color w:val="000000"/>
          <w:kern w:val="0"/>
          <w:sz w:val="28"/>
          <w:szCs w:val="28"/>
        </w:rPr>
        <w:t>境界内矿石量（万</w:t>
      </w:r>
      <w:r>
        <w:rPr>
          <w:rFonts w:cs="宋体 .瑨" w:asciiTheme="minorEastAsia" w:hAnsiTheme="minorEastAsia" w:eastAsiaTheme="minorEastAsia"/>
          <w:color w:val="000000"/>
          <w:kern w:val="0"/>
          <w:sz w:val="28"/>
          <w:szCs w:val="28"/>
        </w:rPr>
        <w:t>m</w:t>
      </w:r>
      <w:r>
        <w:rPr>
          <w:rFonts w:hint="eastAsia" w:cs="宋体 .瑨" w:asciiTheme="minorEastAsia" w:hAnsiTheme="minorEastAsia" w:eastAsiaTheme="minorEastAsia"/>
          <w:color w:val="000000"/>
          <w:kern w:val="0"/>
          <w:sz w:val="28"/>
          <w:szCs w:val="28"/>
        </w:rPr>
        <w:t>³</w:t>
      </w:r>
      <w:r>
        <w:rPr>
          <w:rFonts w:hint="eastAsia" w:cs="宋体" w:asciiTheme="minorEastAsia" w:hAnsiTheme="minorEastAsia" w:eastAsiaTheme="minorEastAsia"/>
          <w:color w:val="000000"/>
          <w:kern w:val="0"/>
          <w:sz w:val="28"/>
          <w:szCs w:val="28"/>
        </w:rPr>
        <w:t>）；</w:t>
      </w:r>
    </w:p>
    <w:p w14:paraId="135AA71B">
      <w:pPr>
        <w:spacing w:line="360" w:lineRule="auto"/>
        <w:ind w:firstLine="565" w:firstLineChars="202"/>
        <w:jc w:val="left"/>
        <w:rPr>
          <w:rFonts w:cs="宋体" w:asciiTheme="minorEastAsia" w:hAnsiTheme="minorEastAsia" w:eastAsiaTheme="minorEastAsia"/>
          <w:sz w:val="28"/>
          <w:szCs w:val="28"/>
        </w:rPr>
      </w:pPr>
      <w:r>
        <w:rPr>
          <w:rFonts w:hint="eastAsia" w:ascii="宋体" w:hAnsi="宋体" w:cs="宋体"/>
          <w:sz w:val="28"/>
          <w:szCs w:val="28"/>
        </w:rPr>
        <w:t>境界内共圈出150.24万m</w:t>
      </w:r>
      <w:r>
        <w:rPr>
          <w:rFonts w:hint="eastAsia" w:ascii="宋体" w:hAnsi="宋体" w:cs="宋体"/>
          <w:sz w:val="28"/>
          <w:szCs w:val="28"/>
          <w:vertAlign w:val="superscript"/>
        </w:rPr>
        <w:t>3</w:t>
      </w:r>
      <w:r>
        <w:rPr>
          <w:rFonts w:hint="eastAsia" w:ascii="宋体" w:hAnsi="宋体" w:cs="宋体"/>
          <w:sz w:val="28"/>
          <w:szCs w:val="28"/>
        </w:rPr>
        <w:t>岩土剥离量，露天开采平均剥采比为0.35m³/m³。</w:t>
      </w:r>
    </w:p>
    <w:p w14:paraId="625A7657">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3)满足安全生产的要求；</w:t>
      </w:r>
    </w:p>
    <w:p w14:paraId="2AE6DCB0">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4)圈定的开采境界不能超过矿区范围；</w:t>
      </w:r>
    </w:p>
    <w:p w14:paraId="70313546">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5)圈定的露天开采境界尽量少占地，把矿山采矿活动对周围</w:t>
      </w:r>
      <w:r>
        <w:rPr>
          <w:rFonts w:hint="eastAsia" w:cs="宋体" w:asciiTheme="minorEastAsia" w:hAnsiTheme="minorEastAsia" w:eastAsiaTheme="minorEastAsia"/>
          <w:sz w:val="28"/>
          <w:szCs w:val="28"/>
          <w:lang w:val="en-US" w:eastAsia="zh-CN"/>
        </w:rPr>
        <w:t>环</w:t>
      </w:r>
      <w:bookmarkStart w:id="261" w:name="_GoBack"/>
      <w:bookmarkEnd w:id="261"/>
      <w:r>
        <w:rPr>
          <w:rFonts w:hint="eastAsia" w:cs="宋体" w:asciiTheme="minorEastAsia" w:hAnsiTheme="minorEastAsia" w:eastAsiaTheme="minorEastAsia"/>
          <w:sz w:val="28"/>
          <w:szCs w:val="28"/>
        </w:rPr>
        <w:t>境的影响降低到最低；</w:t>
      </w:r>
    </w:p>
    <w:p w14:paraId="4232D5DC">
      <w:pPr>
        <w:spacing w:line="360" w:lineRule="auto"/>
        <w:ind w:firstLine="560" w:firstLineChars="200"/>
        <w:rPr>
          <w:rFonts w:asciiTheme="minorEastAsia" w:hAnsiTheme="minorEastAsia" w:eastAsiaTheme="minorEastAsia"/>
          <w:sz w:val="28"/>
          <w:szCs w:val="28"/>
        </w:rPr>
      </w:pPr>
      <w:r>
        <w:rPr>
          <w:rFonts w:hint="eastAsia" w:cs="宋体" w:asciiTheme="minorEastAsia" w:hAnsiTheme="minorEastAsia" w:eastAsiaTheme="minorEastAsia"/>
          <w:sz w:val="28"/>
          <w:szCs w:val="28"/>
        </w:rPr>
        <w:t>据此</w:t>
      </w:r>
      <w:r>
        <w:rPr>
          <w:rFonts w:hint="eastAsia" w:asciiTheme="minorEastAsia" w:hAnsiTheme="minorEastAsia" w:eastAsiaTheme="minorEastAsia"/>
          <w:sz w:val="28"/>
          <w:szCs w:val="28"/>
        </w:rPr>
        <w:t>圈定露天境界全部位于矿区范围内，设计露天境界上下限高度为</w:t>
      </w:r>
      <w:r>
        <w:rPr>
          <w:rFonts w:asciiTheme="minorEastAsia" w:hAnsiTheme="minorEastAsia" w:eastAsiaTheme="minorEastAsia"/>
          <w:sz w:val="28"/>
          <w:szCs w:val="28"/>
        </w:rPr>
        <w:t>+2</w:t>
      </w:r>
      <w:r>
        <w:rPr>
          <w:rFonts w:hint="eastAsia" w:asciiTheme="minorEastAsia" w:hAnsiTheme="minorEastAsia" w:eastAsiaTheme="minorEastAsia"/>
          <w:sz w:val="28"/>
          <w:szCs w:val="28"/>
        </w:rPr>
        <w:t>62～</w:t>
      </w:r>
      <w:r>
        <w:rPr>
          <w:rFonts w:asciiTheme="minorEastAsia" w:hAnsiTheme="minorEastAsia" w:eastAsiaTheme="minorEastAsia"/>
          <w:sz w:val="28"/>
          <w:szCs w:val="28"/>
        </w:rPr>
        <w:t>+1</w:t>
      </w:r>
      <w:r>
        <w:rPr>
          <w:rFonts w:hint="eastAsia" w:asciiTheme="minorEastAsia" w:hAnsiTheme="minorEastAsia" w:eastAsiaTheme="minorEastAsia"/>
          <w:sz w:val="28"/>
          <w:szCs w:val="28"/>
        </w:rPr>
        <w:t>70</w:t>
      </w:r>
      <w:r>
        <w:rPr>
          <w:rFonts w:asciiTheme="minorEastAsia" w:hAnsiTheme="minorEastAsia" w:eastAsiaTheme="minorEastAsia"/>
          <w:sz w:val="28"/>
          <w:szCs w:val="28"/>
        </w:rPr>
        <w:t>m</w:t>
      </w:r>
      <w:r>
        <w:rPr>
          <w:rFonts w:hint="eastAsia" w:asciiTheme="minorEastAsia" w:hAnsiTheme="minorEastAsia" w:eastAsiaTheme="minorEastAsia"/>
          <w:sz w:val="28"/>
          <w:szCs w:val="28"/>
        </w:rPr>
        <w:t>。</w:t>
      </w:r>
    </w:p>
    <w:p w14:paraId="4634AC84">
      <w:pPr>
        <w:spacing w:line="360" w:lineRule="auto"/>
        <w:ind w:firstLine="560" w:firstLineChars="200"/>
        <w:rPr>
          <w:rFonts w:ascii="宋体" w:hAnsi="宋体" w:cs="宋体"/>
          <w:sz w:val="28"/>
          <w:szCs w:val="28"/>
        </w:rPr>
      </w:pPr>
      <w:r>
        <w:rPr>
          <w:rFonts w:hint="eastAsia" w:ascii="宋体" w:hAnsi="宋体" w:cs="宋体"/>
          <w:sz w:val="28"/>
          <w:szCs w:val="28"/>
        </w:rPr>
        <w:t>（3）</w:t>
      </w:r>
      <w:r>
        <w:rPr>
          <w:rFonts w:hint="eastAsia"/>
          <w:sz w:val="28"/>
          <w:szCs w:val="28"/>
        </w:rPr>
        <w:t>露天采场构成要素</w:t>
      </w:r>
    </w:p>
    <w:p w14:paraId="62CC0C5A">
      <w:pPr>
        <w:spacing w:line="360" w:lineRule="auto"/>
        <w:ind w:firstLine="560" w:firstLineChars="200"/>
        <w:rPr>
          <w:rFonts w:ascii="宋体" w:hAnsi="宋体" w:cs="宋体"/>
          <w:spacing w:val="-1"/>
          <w:sz w:val="28"/>
          <w:szCs w:val="28"/>
        </w:rPr>
      </w:pPr>
      <w:bookmarkStart w:id="194" w:name="_Toc4744"/>
      <w:bookmarkStart w:id="195" w:name="_Toc20055"/>
      <w:bookmarkStart w:id="196" w:name="_Toc394921579"/>
      <w:bookmarkStart w:id="197" w:name="_Toc5814"/>
      <w:r>
        <w:rPr>
          <w:rFonts w:hint="eastAsia" w:ascii="宋体" w:hAnsi="宋体" w:cs="宋体"/>
          <w:sz w:val="28"/>
          <w:szCs w:val="28"/>
        </w:rPr>
        <w:t>露天采场构成要素详表4-1：</w:t>
      </w:r>
    </w:p>
    <w:p w14:paraId="4951472E">
      <w:pPr>
        <w:tabs>
          <w:tab w:val="left" w:pos="4395"/>
        </w:tabs>
        <w:spacing w:line="360" w:lineRule="auto"/>
        <w:ind w:firstLine="420"/>
        <w:jc w:val="center"/>
        <w:rPr>
          <w:rFonts w:ascii="宋体" w:hAnsi="宋体"/>
          <w:b/>
          <w:szCs w:val="21"/>
        </w:rPr>
      </w:pPr>
      <w:r>
        <w:rPr>
          <w:rFonts w:hint="eastAsia" w:ascii="宋体" w:hAnsi="宋体"/>
          <w:b/>
          <w:szCs w:val="21"/>
        </w:rPr>
        <w:t>表4-1   露天采场技术参数表</w:t>
      </w:r>
    </w:p>
    <w:tbl>
      <w:tblPr>
        <w:tblStyle w:val="42"/>
        <w:tblW w:w="394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827"/>
        <w:gridCol w:w="3099"/>
        <w:gridCol w:w="835"/>
        <w:gridCol w:w="2305"/>
      </w:tblGrid>
      <w:tr w14:paraId="1C9A7C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Align w:val="center"/>
          </w:tcPr>
          <w:p w14:paraId="10C6E683">
            <w:pPr>
              <w:adjustRightInd w:val="0"/>
              <w:snapToGrid w:val="0"/>
              <w:spacing w:beforeLines="15" w:line="276"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2193" w:type="pct"/>
            <w:vAlign w:val="center"/>
          </w:tcPr>
          <w:p w14:paraId="384F6B3B">
            <w:pPr>
              <w:adjustRightInd w:val="0"/>
              <w:snapToGrid w:val="0"/>
              <w:spacing w:beforeLines="15" w:line="276" w:lineRule="auto"/>
              <w:jc w:val="center"/>
              <w:rPr>
                <w:rFonts w:asciiTheme="minorEastAsia" w:hAnsiTheme="minorEastAsia" w:eastAsiaTheme="minorEastAsia"/>
                <w:b/>
                <w:szCs w:val="21"/>
              </w:rPr>
            </w:pPr>
            <w:r>
              <w:rPr>
                <w:rFonts w:hint="eastAsia" w:asciiTheme="minorEastAsia" w:hAnsiTheme="minorEastAsia" w:eastAsiaTheme="minorEastAsia"/>
                <w:b/>
                <w:szCs w:val="21"/>
              </w:rPr>
              <w:t>项目名称</w:t>
            </w:r>
          </w:p>
        </w:tc>
        <w:tc>
          <w:tcPr>
            <w:tcW w:w="591" w:type="pct"/>
            <w:vAlign w:val="center"/>
          </w:tcPr>
          <w:p w14:paraId="4FBC0CFB">
            <w:pPr>
              <w:adjustRightInd w:val="0"/>
              <w:snapToGrid w:val="0"/>
              <w:spacing w:beforeLines="15" w:line="276" w:lineRule="auto"/>
              <w:jc w:val="center"/>
              <w:rPr>
                <w:rFonts w:asciiTheme="minorEastAsia" w:hAnsiTheme="minorEastAsia" w:eastAsiaTheme="minorEastAsia"/>
                <w:b/>
                <w:szCs w:val="21"/>
              </w:rPr>
            </w:pPr>
            <w:r>
              <w:rPr>
                <w:rFonts w:hint="eastAsia" w:asciiTheme="minorEastAsia" w:hAnsiTheme="minorEastAsia" w:eastAsiaTheme="minorEastAsia"/>
                <w:b/>
                <w:szCs w:val="21"/>
              </w:rPr>
              <w:t>单位</w:t>
            </w:r>
          </w:p>
        </w:tc>
        <w:tc>
          <w:tcPr>
            <w:tcW w:w="1631" w:type="pct"/>
            <w:vAlign w:val="center"/>
          </w:tcPr>
          <w:p w14:paraId="3C76D2B1">
            <w:pPr>
              <w:adjustRightInd w:val="0"/>
              <w:snapToGrid w:val="0"/>
              <w:spacing w:beforeLines="15" w:line="276" w:lineRule="auto"/>
              <w:jc w:val="center"/>
              <w:rPr>
                <w:rFonts w:asciiTheme="minorEastAsia" w:hAnsiTheme="minorEastAsia" w:eastAsiaTheme="minorEastAsia"/>
                <w:b/>
                <w:szCs w:val="21"/>
              </w:rPr>
            </w:pPr>
            <w:r>
              <w:rPr>
                <w:rFonts w:hint="eastAsia" w:asciiTheme="minorEastAsia" w:hAnsiTheme="minorEastAsia" w:eastAsiaTheme="minorEastAsia"/>
                <w:b/>
                <w:szCs w:val="21"/>
              </w:rPr>
              <w:t>参数</w:t>
            </w:r>
          </w:p>
        </w:tc>
      </w:tr>
      <w:tr w14:paraId="2B01E5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Align w:val="center"/>
          </w:tcPr>
          <w:p w14:paraId="00416B2C">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1</w:t>
            </w:r>
          </w:p>
        </w:tc>
        <w:tc>
          <w:tcPr>
            <w:tcW w:w="2193" w:type="pct"/>
            <w:vAlign w:val="center"/>
          </w:tcPr>
          <w:p w14:paraId="1BB67AA6">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采场上部尺寸：长×宽</w:t>
            </w:r>
          </w:p>
        </w:tc>
        <w:tc>
          <w:tcPr>
            <w:tcW w:w="591" w:type="pct"/>
            <w:vAlign w:val="center"/>
          </w:tcPr>
          <w:p w14:paraId="37A0FF3E">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m</w:t>
            </w:r>
          </w:p>
        </w:tc>
        <w:tc>
          <w:tcPr>
            <w:tcW w:w="1631" w:type="pct"/>
            <w:vAlign w:val="center"/>
          </w:tcPr>
          <w:p w14:paraId="07E84171">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717×344</w:t>
            </w:r>
          </w:p>
        </w:tc>
      </w:tr>
      <w:tr w14:paraId="0B5907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Align w:val="center"/>
          </w:tcPr>
          <w:p w14:paraId="5679DA97">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2</w:t>
            </w:r>
          </w:p>
        </w:tc>
        <w:tc>
          <w:tcPr>
            <w:tcW w:w="2193" w:type="pct"/>
            <w:vAlign w:val="center"/>
          </w:tcPr>
          <w:p w14:paraId="7A7364B1">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采场底部尺寸：长×宽</w:t>
            </w:r>
          </w:p>
        </w:tc>
        <w:tc>
          <w:tcPr>
            <w:tcW w:w="591" w:type="pct"/>
            <w:vAlign w:val="center"/>
          </w:tcPr>
          <w:p w14:paraId="66162983">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m</w:t>
            </w:r>
          </w:p>
        </w:tc>
        <w:tc>
          <w:tcPr>
            <w:tcW w:w="1631" w:type="pct"/>
            <w:vAlign w:val="center"/>
          </w:tcPr>
          <w:p w14:paraId="7E1AE401">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668×263</w:t>
            </w:r>
          </w:p>
        </w:tc>
      </w:tr>
      <w:tr w14:paraId="1703A2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Align w:val="center"/>
          </w:tcPr>
          <w:p w14:paraId="31D0E1D0">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3</w:t>
            </w:r>
          </w:p>
        </w:tc>
        <w:tc>
          <w:tcPr>
            <w:tcW w:w="2193" w:type="pct"/>
            <w:vAlign w:val="center"/>
          </w:tcPr>
          <w:p w14:paraId="7B0351FF">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采场顶部剥离标高</w:t>
            </w:r>
          </w:p>
        </w:tc>
        <w:tc>
          <w:tcPr>
            <w:tcW w:w="591" w:type="pct"/>
            <w:vAlign w:val="center"/>
          </w:tcPr>
          <w:p w14:paraId="4FB45BFF">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1631" w:type="pct"/>
            <w:vAlign w:val="center"/>
          </w:tcPr>
          <w:p w14:paraId="72FA009B">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262</w:t>
            </w:r>
          </w:p>
        </w:tc>
      </w:tr>
      <w:tr w14:paraId="28DF08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Align w:val="center"/>
          </w:tcPr>
          <w:p w14:paraId="53E9004C">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4</w:t>
            </w:r>
          </w:p>
        </w:tc>
        <w:tc>
          <w:tcPr>
            <w:tcW w:w="2193" w:type="pct"/>
            <w:vAlign w:val="center"/>
          </w:tcPr>
          <w:p w14:paraId="32A92523">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采场底部标高</w:t>
            </w:r>
          </w:p>
        </w:tc>
        <w:tc>
          <w:tcPr>
            <w:tcW w:w="591" w:type="pct"/>
            <w:vAlign w:val="center"/>
          </w:tcPr>
          <w:p w14:paraId="59AA3F93">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1631" w:type="pct"/>
            <w:vAlign w:val="center"/>
          </w:tcPr>
          <w:p w14:paraId="095D00D3">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170</w:t>
            </w:r>
          </w:p>
        </w:tc>
      </w:tr>
      <w:tr w14:paraId="6BD10F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Align w:val="center"/>
          </w:tcPr>
          <w:p w14:paraId="3936BA17">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5</w:t>
            </w:r>
          </w:p>
        </w:tc>
        <w:tc>
          <w:tcPr>
            <w:tcW w:w="2193" w:type="pct"/>
            <w:vAlign w:val="center"/>
          </w:tcPr>
          <w:p w14:paraId="409ADD84">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露天开采深度</w:t>
            </w:r>
          </w:p>
        </w:tc>
        <w:tc>
          <w:tcPr>
            <w:tcW w:w="591" w:type="pct"/>
            <w:vAlign w:val="center"/>
          </w:tcPr>
          <w:p w14:paraId="441275CA">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1631" w:type="pct"/>
            <w:vAlign w:val="center"/>
          </w:tcPr>
          <w:p w14:paraId="551F2317">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92</w:t>
            </w:r>
          </w:p>
        </w:tc>
      </w:tr>
      <w:tr w14:paraId="5CA8C4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Merge w:val="restart"/>
            <w:vAlign w:val="center"/>
          </w:tcPr>
          <w:p w14:paraId="60F88EEA">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6</w:t>
            </w:r>
          </w:p>
        </w:tc>
        <w:tc>
          <w:tcPr>
            <w:tcW w:w="2193" w:type="pct"/>
            <w:vAlign w:val="center"/>
          </w:tcPr>
          <w:p w14:paraId="7D3FFF65">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靠帮台阶高度（并段）</w:t>
            </w:r>
          </w:p>
        </w:tc>
        <w:tc>
          <w:tcPr>
            <w:tcW w:w="591" w:type="pct"/>
            <w:vAlign w:val="center"/>
          </w:tcPr>
          <w:p w14:paraId="36248764">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1631" w:type="pct"/>
            <w:vAlign w:val="center"/>
          </w:tcPr>
          <w:p w14:paraId="2372F403">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20</w:t>
            </w:r>
          </w:p>
        </w:tc>
      </w:tr>
      <w:tr w14:paraId="1F69F6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Merge w:val="continue"/>
            <w:vAlign w:val="center"/>
          </w:tcPr>
          <w:p w14:paraId="44AECB14">
            <w:pPr>
              <w:adjustRightInd w:val="0"/>
              <w:snapToGrid w:val="0"/>
              <w:spacing w:beforeLines="15" w:line="276" w:lineRule="auto"/>
              <w:jc w:val="center"/>
              <w:rPr>
                <w:rFonts w:asciiTheme="minorEastAsia" w:hAnsiTheme="minorEastAsia" w:eastAsiaTheme="minorEastAsia"/>
                <w:szCs w:val="21"/>
              </w:rPr>
            </w:pPr>
          </w:p>
        </w:tc>
        <w:tc>
          <w:tcPr>
            <w:tcW w:w="2193" w:type="pct"/>
            <w:vAlign w:val="center"/>
          </w:tcPr>
          <w:p w14:paraId="318C22D0">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台阶高度</w:t>
            </w:r>
          </w:p>
        </w:tc>
        <w:tc>
          <w:tcPr>
            <w:tcW w:w="591" w:type="pct"/>
            <w:vAlign w:val="center"/>
          </w:tcPr>
          <w:p w14:paraId="6E9E2125">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1631" w:type="pct"/>
            <w:vAlign w:val="center"/>
          </w:tcPr>
          <w:p w14:paraId="53E37ECD">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10</w:t>
            </w:r>
          </w:p>
        </w:tc>
      </w:tr>
      <w:tr w14:paraId="5C667F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Align w:val="center"/>
          </w:tcPr>
          <w:p w14:paraId="3E8C03A8">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7</w:t>
            </w:r>
          </w:p>
        </w:tc>
        <w:tc>
          <w:tcPr>
            <w:tcW w:w="2193" w:type="pct"/>
            <w:vAlign w:val="center"/>
          </w:tcPr>
          <w:p w14:paraId="24BB0506">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台阶坡面角</w:t>
            </w:r>
          </w:p>
        </w:tc>
        <w:tc>
          <w:tcPr>
            <w:tcW w:w="591" w:type="pct"/>
            <w:vAlign w:val="center"/>
          </w:tcPr>
          <w:p w14:paraId="0799CFAF">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度</w:t>
            </w:r>
          </w:p>
        </w:tc>
        <w:tc>
          <w:tcPr>
            <w:tcW w:w="1631" w:type="pct"/>
            <w:vAlign w:val="center"/>
          </w:tcPr>
          <w:p w14:paraId="0CE48148">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65</w:t>
            </w:r>
          </w:p>
        </w:tc>
      </w:tr>
      <w:tr w14:paraId="43D53C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Align w:val="center"/>
          </w:tcPr>
          <w:p w14:paraId="1CE343ED">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9</w:t>
            </w:r>
          </w:p>
        </w:tc>
        <w:tc>
          <w:tcPr>
            <w:tcW w:w="2193" w:type="pct"/>
            <w:vAlign w:val="center"/>
          </w:tcPr>
          <w:p w14:paraId="1DD1DB38">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最小工作平盘宽度</w:t>
            </w:r>
          </w:p>
        </w:tc>
        <w:tc>
          <w:tcPr>
            <w:tcW w:w="591" w:type="pct"/>
            <w:vAlign w:val="center"/>
          </w:tcPr>
          <w:p w14:paraId="0149644C">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1631" w:type="pct"/>
            <w:vAlign w:val="center"/>
          </w:tcPr>
          <w:p w14:paraId="5095E8CA">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40</w:t>
            </w:r>
          </w:p>
        </w:tc>
      </w:tr>
      <w:tr w14:paraId="4F1056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Align w:val="center"/>
          </w:tcPr>
          <w:p w14:paraId="3FF40630">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10</w:t>
            </w:r>
          </w:p>
        </w:tc>
        <w:tc>
          <w:tcPr>
            <w:tcW w:w="2193" w:type="pct"/>
            <w:vAlign w:val="center"/>
          </w:tcPr>
          <w:p w14:paraId="1B556A4B">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安全平台宽度</w:t>
            </w:r>
          </w:p>
        </w:tc>
        <w:tc>
          <w:tcPr>
            <w:tcW w:w="591" w:type="pct"/>
            <w:vAlign w:val="center"/>
          </w:tcPr>
          <w:p w14:paraId="69CC69CF">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1631" w:type="pct"/>
            <w:vAlign w:val="center"/>
          </w:tcPr>
          <w:p w14:paraId="12D2C34E">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5</w:t>
            </w:r>
          </w:p>
        </w:tc>
      </w:tr>
      <w:tr w14:paraId="1BEE47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Align w:val="center"/>
          </w:tcPr>
          <w:p w14:paraId="5A1BBCD2">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11</w:t>
            </w:r>
          </w:p>
        </w:tc>
        <w:tc>
          <w:tcPr>
            <w:tcW w:w="2193" w:type="pct"/>
            <w:vAlign w:val="center"/>
          </w:tcPr>
          <w:p w14:paraId="0F485617">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清扫平台宽度</w:t>
            </w:r>
          </w:p>
        </w:tc>
        <w:tc>
          <w:tcPr>
            <w:tcW w:w="591" w:type="pct"/>
            <w:vAlign w:val="center"/>
          </w:tcPr>
          <w:p w14:paraId="6B123D79">
            <w:pPr>
              <w:adjustRightInd w:val="0"/>
              <w:snapToGrid w:val="0"/>
              <w:spacing w:beforeLines="15"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1631" w:type="pct"/>
            <w:vAlign w:val="center"/>
          </w:tcPr>
          <w:p w14:paraId="45C10770">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6</w:t>
            </w:r>
          </w:p>
        </w:tc>
      </w:tr>
      <w:tr w14:paraId="4EAE80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vAlign w:val="center"/>
          </w:tcPr>
          <w:p w14:paraId="15D13094">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12</w:t>
            </w:r>
          </w:p>
        </w:tc>
        <w:tc>
          <w:tcPr>
            <w:tcW w:w="2193" w:type="pct"/>
            <w:vAlign w:val="center"/>
          </w:tcPr>
          <w:p w14:paraId="55F909E8">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采场最终边坡角</w:t>
            </w:r>
          </w:p>
        </w:tc>
        <w:tc>
          <w:tcPr>
            <w:tcW w:w="591" w:type="pct"/>
            <w:vAlign w:val="center"/>
          </w:tcPr>
          <w:p w14:paraId="2474BA61">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度</w:t>
            </w:r>
          </w:p>
        </w:tc>
        <w:tc>
          <w:tcPr>
            <w:tcW w:w="1631" w:type="pct"/>
            <w:vAlign w:val="center"/>
          </w:tcPr>
          <w:p w14:paraId="26DED97B">
            <w:pPr>
              <w:adjustRightInd w:val="0"/>
              <w:snapToGrid w:val="0"/>
              <w:spacing w:beforeLines="15"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41°～50°</w:t>
            </w:r>
          </w:p>
        </w:tc>
      </w:tr>
      <w:bookmarkEnd w:id="194"/>
      <w:bookmarkEnd w:id="195"/>
      <w:tr w14:paraId="1CF625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tcPr>
          <w:p w14:paraId="6A02DB5D">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13</w:t>
            </w:r>
          </w:p>
        </w:tc>
        <w:tc>
          <w:tcPr>
            <w:tcW w:w="2193" w:type="pct"/>
          </w:tcPr>
          <w:p w14:paraId="21EF495D">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境界内矿石量</w:t>
            </w:r>
          </w:p>
        </w:tc>
        <w:tc>
          <w:tcPr>
            <w:tcW w:w="591" w:type="pct"/>
          </w:tcPr>
          <w:p w14:paraId="49CE9CAF">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万</w:t>
            </w:r>
            <w:r>
              <w:rPr>
                <w:rFonts w:asciiTheme="minorEastAsia" w:hAnsiTheme="minorEastAsia" w:eastAsiaTheme="minorEastAsia"/>
                <w:sz w:val="21"/>
                <w:szCs w:val="21"/>
              </w:rPr>
              <w:t>立</w:t>
            </w:r>
          </w:p>
        </w:tc>
        <w:tc>
          <w:tcPr>
            <w:tcW w:w="1631" w:type="pct"/>
          </w:tcPr>
          <w:p w14:paraId="76145DE5">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426.06</w:t>
            </w:r>
          </w:p>
        </w:tc>
      </w:tr>
      <w:tr w14:paraId="014796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tcPr>
          <w:p w14:paraId="75405897">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14</w:t>
            </w:r>
          </w:p>
        </w:tc>
        <w:tc>
          <w:tcPr>
            <w:tcW w:w="2193" w:type="pct"/>
          </w:tcPr>
          <w:p w14:paraId="462C11EA">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境界内岩土量</w:t>
            </w:r>
          </w:p>
        </w:tc>
        <w:tc>
          <w:tcPr>
            <w:tcW w:w="591" w:type="pct"/>
          </w:tcPr>
          <w:p w14:paraId="37FF46BA">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万立</w:t>
            </w:r>
          </w:p>
        </w:tc>
        <w:tc>
          <w:tcPr>
            <w:tcW w:w="1631" w:type="pct"/>
          </w:tcPr>
          <w:p w14:paraId="4BCD8F1E">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150.24</w:t>
            </w:r>
          </w:p>
        </w:tc>
      </w:tr>
      <w:tr w14:paraId="09677F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tcPr>
          <w:p w14:paraId="0E6B5AB9">
            <w:pPr>
              <w:pStyle w:val="90"/>
              <w:spacing w:line="276"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1</w:t>
            </w:r>
            <w:r>
              <w:rPr>
                <w:rFonts w:hint="eastAsia" w:asciiTheme="minorEastAsia" w:hAnsiTheme="minorEastAsia" w:eastAsiaTheme="minorEastAsia"/>
                <w:sz w:val="21"/>
                <w:szCs w:val="21"/>
              </w:rPr>
              <w:t>5</w:t>
            </w:r>
          </w:p>
        </w:tc>
        <w:tc>
          <w:tcPr>
            <w:tcW w:w="2193" w:type="pct"/>
          </w:tcPr>
          <w:p w14:paraId="78462AF5">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境界内矿岩合计</w:t>
            </w:r>
          </w:p>
        </w:tc>
        <w:tc>
          <w:tcPr>
            <w:tcW w:w="591" w:type="pct"/>
          </w:tcPr>
          <w:p w14:paraId="79B565BC">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万立</w:t>
            </w:r>
          </w:p>
        </w:tc>
        <w:tc>
          <w:tcPr>
            <w:tcW w:w="1631" w:type="pct"/>
          </w:tcPr>
          <w:p w14:paraId="0796017A">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576.30</w:t>
            </w:r>
          </w:p>
        </w:tc>
      </w:tr>
      <w:tr w14:paraId="752DAF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585" w:type="pct"/>
          </w:tcPr>
          <w:p w14:paraId="3C5F1A47">
            <w:pPr>
              <w:pStyle w:val="90"/>
              <w:spacing w:line="276"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1</w:t>
            </w:r>
            <w:r>
              <w:rPr>
                <w:rFonts w:hint="eastAsia" w:asciiTheme="minorEastAsia" w:hAnsiTheme="minorEastAsia" w:eastAsiaTheme="minorEastAsia"/>
                <w:sz w:val="21"/>
                <w:szCs w:val="21"/>
              </w:rPr>
              <w:t>6</w:t>
            </w:r>
          </w:p>
        </w:tc>
        <w:tc>
          <w:tcPr>
            <w:tcW w:w="2193" w:type="pct"/>
          </w:tcPr>
          <w:p w14:paraId="3C53EBCB">
            <w:pPr>
              <w:pStyle w:val="9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平均剥采比</w:t>
            </w:r>
          </w:p>
        </w:tc>
        <w:tc>
          <w:tcPr>
            <w:tcW w:w="591" w:type="pct"/>
          </w:tcPr>
          <w:p w14:paraId="4073F832">
            <w:pPr>
              <w:pStyle w:val="90"/>
              <w:spacing w:line="276"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m3/m3</w:t>
            </w:r>
          </w:p>
        </w:tc>
        <w:tc>
          <w:tcPr>
            <w:tcW w:w="1631" w:type="pct"/>
          </w:tcPr>
          <w:p w14:paraId="27FF4EBF">
            <w:pPr>
              <w:pStyle w:val="90"/>
              <w:spacing w:line="276"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0.</w:t>
            </w:r>
            <w:r>
              <w:rPr>
                <w:rFonts w:hint="eastAsia" w:asciiTheme="minorEastAsia" w:hAnsiTheme="minorEastAsia" w:eastAsiaTheme="minorEastAsia"/>
                <w:sz w:val="21"/>
                <w:szCs w:val="21"/>
              </w:rPr>
              <w:t>35</w:t>
            </w:r>
          </w:p>
        </w:tc>
      </w:tr>
    </w:tbl>
    <w:p w14:paraId="4EF6B54B">
      <w:pPr>
        <w:pStyle w:val="5"/>
        <w:spacing w:beforeLines="50" w:line="360" w:lineRule="auto"/>
        <w:ind w:firstLine="542" w:firstLineChars="200"/>
        <w:rPr>
          <w:rFonts w:ascii="宋体" w:hAnsi="宋体" w:cs="宋体"/>
          <w:spacing w:val="-5"/>
          <w:sz w:val="28"/>
          <w:szCs w:val="28"/>
        </w:rPr>
      </w:pPr>
      <w:bookmarkStart w:id="198" w:name="OLE_LINK23"/>
      <w:bookmarkStart w:id="199" w:name="_Toc11044"/>
      <w:bookmarkStart w:id="200" w:name="_Toc146115805"/>
      <w:bookmarkStart w:id="201" w:name="_Toc259351715"/>
      <w:bookmarkStart w:id="202" w:name="_Toc142406893"/>
      <w:bookmarkStart w:id="203" w:name="_Toc8336"/>
      <w:bookmarkStart w:id="204" w:name="_Toc146115722"/>
      <w:bookmarkStart w:id="205" w:name="OLE_LINK29"/>
      <w:r>
        <w:rPr>
          <w:rFonts w:hint="eastAsia" w:ascii="宋体" w:hAnsi="宋体" w:cs="宋体"/>
          <w:spacing w:val="-5"/>
          <w:sz w:val="28"/>
          <w:szCs w:val="28"/>
        </w:rPr>
        <w:t>4、设计利用资源储量</w:t>
      </w:r>
    </w:p>
    <w:p w14:paraId="22590E25">
      <w:pPr>
        <w:spacing w:line="360" w:lineRule="auto"/>
        <w:ind w:firstLine="532" w:firstLineChars="200"/>
        <w:jc w:val="left"/>
        <w:rPr>
          <w:rFonts w:ascii="宋体" w:hAnsi="宋体" w:cs="宋体"/>
          <w:sz w:val="28"/>
          <w:szCs w:val="28"/>
        </w:rPr>
      </w:pPr>
      <w:r>
        <w:rPr>
          <w:rFonts w:ascii="宋体" w:hAnsi="宋体" w:cs="宋体"/>
          <w:spacing w:val="-7"/>
          <w:sz w:val="28"/>
          <w:szCs w:val="28"/>
        </w:rPr>
        <w:t>根据</w:t>
      </w:r>
      <w:r>
        <w:rPr>
          <w:rFonts w:hint="eastAsia" w:ascii="宋体" w:hAnsi="宋体" w:cs="宋体"/>
          <w:spacing w:val="-7"/>
          <w:sz w:val="28"/>
          <w:szCs w:val="28"/>
        </w:rPr>
        <w:t>2025年3月，</w:t>
      </w:r>
      <w:r>
        <w:rPr>
          <w:rFonts w:ascii="宋体" w:hAnsi="宋体" w:cs="宋体"/>
          <w:sz w:val="28"/>
          <w:szCs w:val="28"/>
        </w:rPr>
        <w:t>辽宁省第九地质大队有限责任公</w:t>
      </w:r>
      <w:r>
        <w:rPr>
          <w:rFonts w:ascii="宋体" w:hAnsi="宋体" w:cs="宋体"/>
          <w:spacing w:val="1"/>
          <w:sz w:val="28"/>
          <w:szCs w:val="28"/>
        </w:rPr>
        <w:t>提交《</w:t>
      </w:r>
      <w:r>
        <w:rPr>
          <w:rFonts w:hint="eastAsia" w:ascii="宋体" w:hAnsi="宋体" w:cs="宋体"/>
          <w:spacing w:val="1"/>
          <w:sz w:val="28"/>
          <w:szCs w:val="28"/>
        </w:rPr>
        <w:t>辽宁省铁岭县李千户镇金家沟村建筑用白云岩矿详查</w:t>
      </w:r>
      <w:r>
        <w:rPr>
          <w:rFonts w:ascii="宋体" w:hAnsi="宋体" w:cs="宋体"/>
          <w:spacing w:val="1"/>
          <w:sz w:val="28"/>
          <w:szCs w:val="28"/>
        </w:rPr>
        <w:t>报告》及评审备案文件，</w:t>
      </w:r>
      <w:r>
        <w:rPr>
          <w:rFonts w:hint="eastAsia" w:ascii="宋体" w:hAnsi="宋体" w:cs="宋体"/>
          <w:sz w:val="28"/>
          <w:szCs w:val="28"/>
        </w:rPr>
        <w:t>截止到2025年2月28日，求得勘查区内（+170m以上）建筑用石料总计推断+控制（TD+KZ）资源量总计*****万立方米，其中控制（KZ）资源量为******万立方米，推断（TD）资源量为*****万立方米。</w:t>
      </w:r>
    </w:p>
    <w:p w14:paraId="06B9508F">
      <w:pPr>
        <w:spacing w:line="360" w:lineRule="auto"/>
        <w:ind w:firstLine="560" w:firstLineChars="200"/>
        <w:jc w:val="left"/>
        <w:rPr>
          <w:rFonts w:ascii="宋体" w:hAnsi="宋体" w:cs="宋体"/>
          <w:sz w:val="28"/>
          <w:szCs w:val="28"/>
        </w:rPr>
      </w:pPr>
      <w:r>
        <w:rPr>
          <w:rFonts w:hint="eastAsia" w:ascii="宋体" w:hAnsi="宋体" w:cs="宋体"/>
          <w:sz w:val="28"/>
          <w:szCs w:val="28"/>
        </w:rPr>
        <w:t>受矿区范围、周边地形及交通条件限制，设计露天采场边坡存在压矿量，经</w:t>
      </w:r>
      <w:r>
        <w:rPr>
          <w:rFonts w:ascii="宋体" w:hAnsi="宋体" w:cs="宋体"/>
          <w:sz w:val="28"/>
          <w:szCs w:val="28"/>
        </w:rPr>
        <w:t>3DMine</w:t>
      </w:r>
      <w:r>
        <w:rPr>
          <w:rFonts w:hint="eastAsia" w:ascii="宋体" w:hAnsi="宋体" w:cs="宋体"/>
          <w:sz w:val="28"/>
          <w:szCs w:val="28"/>
        </w:rPr>
        <w:t>矿业工程软件建模估算，设计露天采场内矿石总量为*****万</w:t>
      </w:r>
      <w:r>
        <w:rPr>
          <w:rFonts w:ascii="宋体" w:hAnsi="宋体" w:cs="宋体"/>
          <w:sz w:val="28"/>
          <w:szCs w:val="28"/>
        </w:rPr>
        <w:t>m</w:t>
      </w:r>
      <w:r>
        <w:rPr>
          <w:rFonts w:hint="eastAsia" w:ascii="宋体" w:hAnsi="宋体" w:cs="宋体"/>
          <w:sz w:val="28"/>
          <w:szCs w:val="28"/>
          <w:vertAlign w:val="superscript"/>
        </w:rPr>
        <w:t>3</w:t>
      </w:r>
      <w:r>
        <w:rPr>
          <w:rFonts w:hint="eastAsia" w:ascii="宋体" w:hAnsi="宋体" w:cs="宋体"/>
          <w:sz w:val="28"/>
          <w:szCs w:val="28"/>
        </w:rPr>
        <w:t>，其中白云岩矿石量******万</w:t>
      </w:r>
      <w:r>
        <w:rPr>
          <w:rFonts w:ascii="宋体" w:hAnsi="宋体" w:cs="宋体"/>
          <w:sz w:val="28"/>
          <w:szCs w:val="28"/>
        </w:rPr>
        <w:t>m</w:t>
      </w:r>
      <w:r>
        <w:rPr>
          <w:rFonts w:hint="eastAsia" w:ascii="宋体" w:hAnsi="宋体" w:cs="宋体"/>
          <w:sz w:val="28"/>
          <w:szCs w:val="28"/>
          <w:vertAlign w:val="superscript"/>
        </w:rPr>
        <w:t>3</w:t>
      </w:r>
      <w:r>
        <w:rPr>
          <w:rFonts w:hint="eastAsia" w:ascii="宋体" w:hAnsi="宋体" w:cs="宋体"/>
          <w:sz w:val="28"/>
          <w:szCs w:val="28"/>
        </w:rPr>
        <w:t>，砂岩矿石量******万m</w:t>
      </w:r>
      <w:r>
        <w:rPr>
          <w:rFonts w:hint="eastAsia" w:ascii="宋体" w:hAnsi="宋体" w:cs="宋体"/>
          <w:sz w:val="28"/>
          <w:szCs w:val="28"/>
          <w:vertAlign w:val="superscript"/>
        </w:rPr>
        <w:t>3</w:t>
      </w:r>
      <w:r>
        <w:rPr>
          <w:rFonts w:hint="eastAsia" w:ascii="宋体" w:hAnsi="宋体" w:cs="宋体"/>
          <w:sz w:val="28"/>
          <w:szCs w:val="28"/>
        </w:rPr>
        <w:t>，剥离量为******万m</w:t>
      </w:r>
      <w:r>
        <w:rPr>
          <w:rFonts w:hint="eastAsia" w:ascii="宋体" w:hAnsi="宋体" w:cs="宋体"/>
          <w:sz w:val="28"/>
          <w:szCs w:val="28"/>
          <w:vertAlign w:val="superscript"/>
        </w:rPr>
        <w:t>3</w:t>
      </w:r>
      <w:r>
        <w:rPr>
          <w:rFonts w:hint="eastAsia" w:ascii="宋体" w:hAnsi="宋体" w:cs="宋体"/>
          <w:sz w:val="28"/>
          <w:szCs w:val="28"/>
        </w:rPr>
        <w:t>，平均剥采比0.35。边坡压覆矿石量为*****万m</w:t>
      </w:r>
      <w:r>
        <w:rPr>
          <w:rFonts w:hint="eastAsia" w:ascii="宋体" w:hAnsi="宋体" w:cs="宋体"/>
          <w:sz w:val="28"/>
          <w:szCs w:val="28"/>
          <w:vertAlign w:val="superscript"/>
        </w:rPr>
        <w:t>3</w:t>
      </w:r>
      <w:r>
        <w:rPr>
          <w:rFonts w:hint="eastAsia" w:ascii="宋体" w:hAnsi="宋体" w:cs="宋体"/>
          <w:sz w:val="28"/>
          <w:szCs w:val="28"/>
        </w:rPr>
        <w:t>，其中压覆建筑用白云岩矿石量****万m</w:t>
      </w:r>
      <w:r>
        <w:rPr>
          <w:rFonts w:hint="eastAsia" w:ascii="宋体" w:hAnsi="宋体" w:cs="宋体"/>
          <w:sz w:val="28"/>
          <w:szCs w:val="28"/>
          <w:vertAlign w:val="superscript"/>
        </w:rPr>
        <w:t>3</w:t>
      </w:r>
      <w:r>
        <w:rPr>
          <w:rFonts w:hint="eastAsia" w:ascii="宋体" w:hAnsi="宋体" w:cs="宋体"/>
          <w:sz w:val="28"/>
          <w:szCs w:val="28"/>
        </w:rPr>
        <w:t>，压覆石英砂岩矿石量****万m</w:t>
      </w:r>
      <w:r>
        <w:rPr>
          <w:rFonts w:hint="eastAsia" w:ascii="宋体" w:hAnsi="宋体" w:cs="宋体"/>
          <w:sz w:val="28"/>
          <w:szCs w:val="28"/>
          <w:vertAlign w:val="superscript"/>
        </w:rPr>
        <w:t>3</w:t>
      </w:r>
      <w:r>
        <w:rPr>
          <w:rFonts w:hint="eastAsia" w:ascii="宋体" w:hAnsi="宋体" w:cs="宋体"/>
          <w:sz w:val="28"/>
          <w:szCs w:val="28"/>
        </w:rPr>
        <w:t>。</w:t>
      </w:r>
    </w:p>
    <w:p w14:paraId="65EC86A6">
      <w:pPr>
        <w:spacing w:line="360" w:lineRule="auto"/>
        <w:ind w:firstLine="560" w:firstLineChars="200"/>
        <w:jc w:val="left"/>
        <w:rPr>
          <w:rFonts w:ascii="宋体" w:hAnsi="宋体" w:cs="宋体"/>
          <w:sz w:val="28"/>
          <w:szCs w:val="28"/>
        </w:rPr>
      </w:pPr>
      <w:r>
        <w:rPr>
          <w:rFonts w:hint="eastAsia" w:ascii="宋体" w:hAnsi="宋体" w:cs="宋体"/>
          <w:sz w:val="28"/>
          <w:szCs w:val="28"/>
        </w:rPr>
        <w:t>根据《采矿设计手册 矿产地质卷（上）》储量计算相关规定，“设计时的储量计算结果应与地质勘探报告提交的储量进行对比，矿石量允许误差为3～5%，当计算方法不同时取上限。”本次设计的资源量为*****万m</w:t>
      </w:r>
      <w:r>
        <w:rPr>
          <w:rFonts w:hint="eastAsia" w:ascii="宋体" w:hAnsi="宋体" w:cs="宋体"/>
          <w:sz w:val="28"/>
          <w:szCs w:val="28"/>
          <w:vertAlign w:val="superscript"/>
        </w:rPr>
        <w:t>3</w:t>
      </w:r>
      <w:r>
        <w:rPr>
          <w:rFonts w:hint="eastAsia" w:ascii="宋体" w:hAnsi="宋体" w:cs="宋体"/>
          <w:sz w:val="28"/>
          <w:szCs w:val="28"/>
        </w:rPr>
        <w:t>，与地质详查报告备案的保有资源量对比，资源量相差为2.4%，剥离量变化1.2%。满足允许相对误差要求。</w:t>
      </w:r>
    </w:p>
    <w:p w14:paraId="66EEDE81">
      <w:pPr>
        <w:tabs>
          <w:tab w:val="left" w:pos="4253"/>
        </w:tabs>
        <w:spacing w:line="360" w:lineRule="auto"/>
        <w:ind w:firstLine="560" w:firstLineChars="200"/>
        <w:jc w:val="left"/>
        <w:rPr>
          <w:rFonts w:ascii="宋体" w:hAnsi="宋体"/>
          <w:b/>
          <w:sz w:val="24"/>
        </w:rPr>
      </w:pPr>
      <w:r>
        <w:rPr>
          <w:rFonts w:hint="eastAsia" w:ascii="宋体" w:cs="宋体"/>
          <w:kern w:val="0"/>
          <w:sz w:val="28"/>
          <w:szCs w:val="28"/>
        </w:rPr>
        <w:t>设计利用资源量=保有资源量（白云岩资源量+砂岩资源量）-设计损失量（边坡压矿）。露天开采各工作阶段设计利用各矿体资源量见表</w:t>
      </w:r>
      <w:r>
        <w:rPr>
          <w:rFonts w:ascii="宋体" w:cs="宋体"/>
          <w:kern w:val="0"/>
          <w:sz w:val="28"/>
          <w:szCs w:val="28"/>
        </w:rPr>
        <w:t>4-</w:t>
      </w:r>
      <w:r>
        <w:rPr>
          <w:rFonts w:hint="eastAsia" w:ascii="宋体" w:cs="宋体"/>
          <w:kern w:val="0"/>
          <w:sz w:val="28"/>
          <w:szCs w:val="28"/>
        </w:rPr>
        <w:t>2。</w:t>
      </w:r>
    </w:p>
    <w:p w14:paraId="3C9AF362">
      <w:pPr>
        <w:spacing w:line="360" w:lineRule="auto"/>
        <w:ind w:firstLine="420"/>
        <w:jc w:val="center"/>
        <w:rPr>
          <w:rFonts w:ascii="宋体" w:hAnsi="宋体"/>
          <w:b/>
          <w:szCs w:val="21"/>
        </w:rPr>
      </w:pPr>
      <w:r>
        <w:rPr>
          <w:rFonts w:hint="eastAsia" w:ascii="宋体" w:hAnsi="宋体"/>
          <w:b/>
          <w:szCs w:val="21"/>
        </w:rPr>
        <w:t>表4-2  设计利用资源量结果表（3DMine块体模型报告）</w:t>
      </w:r>
    </w:p>
    <w:tbl>
      <w:tblPr>
        <w:tblStyle w:val="42"/>
        <w:tblW w:w="4124" w:type="pct"/>
        <w:jc w:val="center"/>
        <w:tblLayout w:type="autofit"/>
        <w:tblCellMar>
          <w:top w:w="0" w:type="dxa"/>
          <w:left w:w="108" w:type="dxa"/>
          <w:bottom w:w="0" w:type="dxa"/>
          <w:right w:w="108" w:type="dxa"/>
        </w:tblCellMar>
      </w:tblPr>
      <w:tblGrid>
        <w:gridCol w:w="1691"/>
        <w:gridCol w:w="1955"/>
        <w:gridCol w:w="1843"/>
        <w:gridCol w:w="1890"/>
      </w:tblGrid>
      <w:tr w14:paraId="62F6A27C">
        <w:tblPrEx>
          <w:tblCellMar>
            <w:top w:w="0" w:type="dxa"/>
            <w:left w:w="108" w:type="dxa"/>
            <w:bottom w:w="0" w:type="dxa"/>
            <w:right w:w="108" w:type="dxa"/>
          </w:tblCellMar>
        </w:tblPrEx>
        <w:trPr>
          <w:trHeight w:val="288" w:hRule="atLeast"/>
          <w:jc w:val="center"/>
        </w:trPr>
        <w:tc>
          <w:tcPr>
            <w:tcW w:w="16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D3EE1E">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Z/工作阶段（m）</w:t>
            </w:r>
          </w:p>
        </w:tc>
        <w:tc>
          <w:tcPr>
            <w:tcW w:w="1955" w:type="dxa"/>
            <w:tcBorders>
              <w:top w:val="single" w:color="auto" w:sz="4" w:space="0"/>
              <w:left w:val="nil"/>
              <w:bottom w:val="single" w:color="auto" w:sz="4" w:space="0"/>
              <w:right w:val="single" w:color="auto" w:sz="4" w:space="0"/>
            </w:tcBorders>
            <w:shd w:val="clear" w:color="auto" w:fill="auto"/>
            <w:noWrap/>
            <w:vAlign w:val="center"/>
          </w:tcPr>
          <w:p w14:paraId="5D746700">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矿岩类型</w:t>
            </w:r>
          </w:p>
        </w:tc>
        <w:tc>
          <w:tcPr>
            <w:tcW w:w="1843" w:type="dxa"/>
            <w:tcBorders>
              <w:top w:val="single" w:color="auto" w:sz="4" w:space="0"/>
              <w:left w:val="nil"/>
              <w:bottom w:val="single" w:color="auto" w:sz="4" w:space="0"/>
              <w:right w:val="single" w:color="auto" w:sz="4" w:space="0"/>
            </w:tcBorders>
            <w:shd w:val="clear" w:color="auto" w:fill="auto"/>
            <w:noWrap/>
            <w:vAlign w:val="center"/>
          </w:tcPr>
          <w:p w14:paraId="1D19F751">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体积（m</w:t>
            </w:r>
            <w:r>
              <w:rPr>
                <w:rFonts w:hint="eastAsia" w:ascii="宋体" w:hAnsi="宋体" w:cs="宋体"/>
                <w:b/>
                <w:color w:val="000000"/>
                <w:kern w:val="0"/>
                <w:sz w:val="22"/>
                <w:szCs w:val="22"/>
                <w:vertAlign w:val="superscript"/>
              </w:rPr>
              <w:t>3</w:t>
            </w:r>
            <w:r>
              <w:rPr>
                <w:rFonts w:hint="eastAsia" w:ascii="宋体" w:hAnsi="宋体" w:cs="宋体"/>
                <w:b/>
                <w:color w:val="000000"/>
                <w:kern w:val="0"/>
                <w:sz w:val="22"/>
                <w:szCs w:val="22"/>
              </w:rPr>
              <w:t>）</w:t>
            </w:r>
          </w:p>
        </w:tc>
        <w:tc>
          <w:tcPr>
            <w:tcW w:w="1891" w:type="dxa"/>
            <w:tcBorders>
              <w:top w:val="single" w:color="auto" w:sz="4" w:space="0"/>
              <w:left w:val="nil"/>
              <w:bottom w:val="single" w:color="auto" w:sz="4" w:space="0"/>
              <w:right w:val="single" w:color="auto" w:sz="4" w:space="0"/>
            </w:tcBorders>
            <w:vAlign w:val="center"/>
          </w:tcPr>
          <w:p w14:paraId="005BF52E">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备注</w:t>
            </w:r>
          </w:p>
        </w:tc>
      </w:tr>
      <w:tr w14:paraId="7B3E7041">
        <w:tblPrEx>
          <w:tblCellMar>
            <w:top w:w="0" w:type="dxa"/>
            <w:left w:w="108" w:type="dxa"/>
            <w:bottom w:w="0" w:type="dxa"/>
            <w:right w:w="108" w:type="dxa"/>
          </w:tblCellMar>
        </w:tblPrEx>
        <w:trPr>
          <w:trHeight w:val="288" w:hRule="atLeast"/>
          <w:jc w:val="center"/>
        </w:trPr>
        <w:tc>
          <w:tcPr>
            <w:tcW w:w="1691" w:type="dxa"/>
            <w:vMerge w:val="restart"/>
            <w:tcBorders>
              <w:top w:val="nil"/>
              <w:left w:val="single" w:color="auto" w:sz="4" w:space="0"/>
              <w:bottom w:val="single" w:color="auto" w:sz="4" w:space="0"/>
              <w:right w:val="single" w:color="auto" w:sz="4" w:space="0"/>
            </w:tcBorders>
            <w:shd w:val="clear" w:color="auto" w:fill="auto"/>
            <w:noWrap/>
            <w:vAlign w:val="center"/>
          </w:tcPr>
          <w:p w14:paraId="0149718F">
            <w:pPr>
              <w:widowControl/>
              <w:jc w:val="center"/>
              <w:rPr>
                <w:rFonts w:ascii="宋体" w:hAnsi="宋体" w:cs="宋体"/>
                <w:color w:val="000000"/>
                <w:kern w:val="0"/>
                <w:sz w:val="22"/>
                <w:szCs w:val="22"/>
              </w:rPr>
            </w:pPr>
            <w:r>
              <w:rPr>
                <w:rFonts w:hint="eastAsia" w:ascii="宋体" w:hAnsi="宋体" w:cs="宋体"/>
                <w:color w:val="000000"/>
                <w:kern w:val="0"/>
                <w:sz w:val="22"/>
                <w:szCs w:val="22"/>
              </w:rPr>
              <w:t>170～180</w:t>
            </w:r>
          </w:p>
        </w:tc>
        <w:tc>
          <w:tcPr>
            <w:tcW w:w="1955" w:type="dxa"/>
            <w:tcBorders>
              <w:top w:val="nil"/>
              <w:left w:val="nil"/>
              <w:bottom w:val="single" w:color="auto" w:sz="4" w:space="0"/>
              <w:right w:val="single" w:color="auto" w:sz="4" w:space="0"/>
            </w:tcBorders>
            <w:shd w:val="clear" w:color="auto" w:fill="auto"/>
            <w:noWrap/>
            <w:vAlign w:val="center"/>
          </w:tcPr>
          <w:p w14:paraId="35C3BCA8">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压矿砂岩</w:t>
            </w:r>
          </w:p>
        </w:tc>
        <w:tc>
          <w:tcPr>
            <w:tcW w:w="1843" w:type="dxa"/>
            <w:tcBorders>
              <w:top w:val="nil"/>
              <w:left w:val="nil"/>
              <w:bottom w:val="single" w:color="auto" w:sz="4" w:space="0"/>
              <w:right w:val="single" w:color="auto" w:sz="4" w:space="0"/>
            </w:tcBorders>
            <w:shd w:val="clear" w:color="auto" w:fill="auto"/>
            <w:noWrap/>
            <w:vAlign w:val="center"/>
          </w:tcPr>
          <w:p w14:paraId="093E3F5B">
            <w:pPr>
              <w:widowControl/>
              <w:jc w:val="center"/>
              <w:rPr>
                <w:rFonts w:ascii="宋体" w:hAnsi="宋体" w:cs="宋体"/>
                <w:color w:val="000000"/>
                <w:kern w:val="0"/>
                <w:sz w:val="22"/>
                <w:szCs w:val="22"/>
              </w:rPr>
            </w:pPr>
          </w:p>
        </w:tc>
        <w:tc>
          <w:tcPr>
            <w:tcW w:w="1891" w:type="dxa"/>
            <w:vMerge w:val="restart"/>
            <w:tcBorders>
              <w:top w:val="nil"/>
              <w:left w:val="nil"/>
              <w:right w:val="single" w:color="auto" w:sz="4" w:space="0"/>
            </w:tcBorders>
            <w:vAlign w:val="center"/>
          </w:tcPr>
          <w:p w14:paraId="4EE09FB5">
            <w:pPr>
              <w:widowControl/>
              <w:jc w:val="center"/>
              <w:rPr>
                <w:rFonts w:ascii="宋体" w:hAnsi="宋体" w:cs="宋体"/>
                <w:color w:val="000000"/>
                <w:kern w:val="0"/>
                <w:sz w:val="22"/>
                <w:szCs w:val="22"/>
              </w:rPr>
            </w:pPr>
            <w:r>
              <w:rPr>
                <w:rFonts w:ascii="宋体" w:hAnsi="宋体" w:cs="宋体"/>
                <w:color w:val="000000"/>
                <w:kern w:val="0"/>
                <w:sz w:val="22"/>
                <w:szCs w:val="22"/>
              </w:rPr>
              <w:t>压矿量</w:t>
            </w:r>
            <w:r>
              <w:rPr>
                <w:rFonts w:hint="eastAsia" w:ascii="宋体" w:hAnsi="宋体" w:cs="宋体"/>
                <w:color w:val="000000"/>
                <w:kern w:val="0"/>
                <w:sz w:val="22"/>
                <w:szCs w:val="22"/>
              </w:rPr>
              <w:t>=损失量</w:t>
            </w:r>
          </w:p>
          <w:p w14:paraId="4EDAFE9A">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境界量=设计量</w:t>
            </w:r>
          </w:p>
          <w:p w14:paraId="59228B8B">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境界剥离=剥离量</w:t>
            </w:r>
          </w:p>
        </w:tc>
      </w:tr>
      <w:tr w14:paraId="7B4A4B7E">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7F2CE5AD">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0350DA86">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压矿白云岩</w:t>
            </w:r>
          </w:p>
        </w:tc>
        <w:tc>
          <w:tcPr>
            <w:tcW w:w="1843" w:type="dxa"/>
            <w:tcBorders>
              <w:top w:val="nil"/>
              <w:left w:val="nil"/>
              <w:bottom w:val="single" w:color="auto" w:sz="4" w:space="0"/>
              <w:right w:val="single" w:color="auto" w:sz="4" w:space="0"/>
            </w:tcBorders>
            <w:shd w:val="clear" w:color="auto" w:fill="auto"/>
            <w:noWrap/>
            <w:vAlign w:val="center"/>
          </w:tcPr>
          <w:p w14:paraId="267F820E">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26C1EA09">
            <w:pPr>
              <w:widowControl/>
              <w:jc w:val="center"/>
              <w:rPr>
                <w:rFonts w:ascii="宋体" w:hAnsi="宋体" w:cs="宋体"/>
                <w:color w:val="000000"/>
                <w:kern w:val="0"/>
                <w:sz w:val="22"/>
                <w:szCs w:val="22"/>
              </w:rPr>
            </w:pPr>
          </w:p>
        </w:tc>
      </w:tr>
      <w:tr w14:paraId="6A258A2E">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75C6DE14">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2F4066F0">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境界内白云岩</w:t>
            </w:r>
          </w:p>
        </w:tc>
        <w:tc>
          <w:tcPr>
            <w:tcW w:w="1843" w:type="dxa"/>
            <w:tcBorders>
              <w:top w:val="nil"/>
              <w:left w:val="nil"/>
              <w:bottom w:val="single" w:color="auto" w:sz="4" w:space="0"/>
              <w:right w:val="single" w:color="auto" w:sz="4" w:space="0"/>
            </w:tcBorders>
            <w:shd w:val="clear" w:color="auto" w:fill="auto"/>
            <w:noWrap/>
            <w:vAlign w:val="center"/>
          </w:tcPr>
          <w:p w14:paraId="79D8D9EA">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77868A48">
            <w:pPr>
              <w:widowControl/>
              <w:jc w:val="center"/>
              <w:rPr>
                <w:rFonts w:ascii="宋体" w:hAnsi="宋体" w:cs="宋体"/>
                <w:color w:val="000000"/>
                <w:kern w:val="0"/>
                <w:sz w:val="22"/>
                <w:szCs w:val="22"/>
              </w:rPr>
            </w:pPr>
          </w:p>
        </w:tc>
      </w:tr>
      <w:tr w14:paraId="39A0A601">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2E067EB3">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24C84A47">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境界内砂岩</w:t>
            </w:r>
          </w:p>
        </w:tc>
        <w:tc>
          <w:tcPr>
            <w:tcW w:w="1843" w:type="dxa"/>
            <w:tcBorders>
              <w:top w:val="nil"/>
              <w:left w:val="nil"/>
              <w:bottom w:val="single" w:color="auto" w:sz="4" w:space="0"/>
              <w:right w:val="single" w:color="auto" w:sz="4" w:space="0"/>
            </w:tcBorders>
            <w:shd w:val="clear" w:color="auto" w:fill="auto"/>
            <w:noWrap/>
            <w:vAlign w:val="center"/>
          </w:tcPr>
          <w:p w14:paraId="1C64603D">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07D8851A">
            <w:pPr>
              <w:widowControl/>
              <w:jc w:val="center"/>
              <w:rPr>
                <w:rFonts w:ascii="宋体" w:hAnsi="宋体" w:cs="宋体"/>
                <w:color w:val="000000"/>
                <w:kern w:val="0"/>
                <w:sz w:val="22"/>
                <w:szCs w:val="22"/>
              </w:rPr>
            </w:pPr>
          </w:p>
        </w:tc>
      </w:tr>
      <w:tr w14:paraId="1B87604B">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52BA27F3">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07728B9F">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境界内剥离</w:t>
            </w:r>
          </w:p>
        </w:tc>
        <w:tc>
          <w:tcPr>
            <w:tcW w:w="1843" w:type="dxa"/>
            <w:tcBorders>
              <w:top w:val="nil"/>
              <w:left w:val="nil"/>
              <w:bottom w:val="single" w:color="auto" w:sz="4" w:space="0"/>
              <w:right w:val="single" w:color="auto" w:sz="4" w:space="0"/>
            </w:tcBorders>
            <w:shd w:val="clear" w:color="auto" w:fill="auto"/>
            <w:noWrap/>
            <w:vAlign w:val="center"/>
          </w:tcPr>
          <w:p w14:paraId="5E2656AF">
            <w:pPr>
              <w:widowControl/>
              <w:jc w:val="center"/>
              <w:rPr>
                <w:rFonts w:ascii="宋体" w:hAnsi="宋体" w:cs="宋体"/>
                <w:color w:val="000000"/>
                <w:kern w:val="0"/>
                <w:sz w:val="22"/>
                <w:szCs w:val="22"/>
              </w:rPr>
            </w:pPr>
          </w:p>
        </w:tc>
        <w:tc>
          <w:tcPr>
            <w:tcW w:w="1891" w:type="dxa"/>
            <w:vMerge w:val="continue"/>
            <w:tcBorders>
              <w:left w:val="nil"/>
              <w:bottom w:val="single" w:color="auto" w:sz="4" w:space="0"/>
              <w:right w:val="single" w:color="auto" w:sz="4" w:space="0"/>
            </w:tcBorders>
            <w:vAlign w:val="center"/>
          </w:tcPr>
          <w:p w14:paraId="5F99555D">
            <w:pPr>
              <w:widowControl/>
              <w:jc w:val="center"/>
              <w:rPr>
                <w:rFonts w:ascii="宋体" w:hAnsi="宋体" w:cs="宋体"/>
                <w:color w:val="000000"/>
                <w:kern w:val="0"/>
                <w:sz w:val="22"/>
                <w:szCs w:val="22"/>
              </w:rPr>
            </w:pPr>
          </w:p>
        </w:tc>
      </w:tr>
      <w:tr w14:paraId="3F8943EE">
        <w:tblPrEx>
          <w:tblCellMar>
            <w:top w:w="0" w:type="dxa"/>
            <w:left w:w="108" w:type="dxa"/>
            <w:bottom w:w="0" w:type="dxa"/>
            <w:right w:w="108" w:type="dxa"/>
          </w:tblCellMar>
        </w:tblPrEx>
        <w:trPr>
          <w:trHeight w:val="288" w:hRule="atLeast"/>
          <w:jc w:val="center"/>
        </w:trPr>
        <w:tc>
          <w:tcPr>
            <w:tcW w:w="1691" w:type="dxa"/>
            <w:vMerge w:val="restart"/>
            <w:tcBorders>
              <w:top w:val="nil"/>
              <w:left w:val="single" w:color="auto" w:sz="4" w:space="0"/>
              <w:bottom w:val="single" w:color="auto" w:sz="4" w:space="0"/>
              <w:right w:val="single" w:color="auto" w:sz="4" w:space="0"/>
            </w:tcBorders>
            <w:shd w:val="clear" w:color="auto" w:fill="auto"/>
            <w:noWrap/>
            <w:vAlign w:val="center"/>
          </w:tcPr>
          <w:p w14:paraId="11FE30D9">
            <w:pPr>
              <w:widowControl/>
              <w:jc w:val="center"/>
              <w:rPr>
                <w:rFonts w:ascii="宋体" w:hAnsi="宋体" w:cs="宋体"/>
                <w:color w:val="000000"/>
                <w:kern w:val="0"/>
                <w:sz w:val="22"/>
                <w:szCs w:val="22"/>
              </w:rPr>
            </w:pPr>
            <w:r>
              <w:rPr>
                <w:rFonts w:hint="eastAsia" w:ascii="宋体" w:hAnsi="宋体" w:cs="宋体"/>
                <w:color w:val="000000"/>
                <w:kern w:val="0"/>
                <w:sz w:val="22"/>
                <w:szCs w:val="22"/>
              </w:rPr>
              <w:t>180～190</w:t>
            </w:r>
          </w:p>
        </w:tc>
        <w:tc>
          <w:tcPr>
            <w:tcW w:w="1955" w:type="dxa"/>
            <w:tcBorders>
              <w:top w:val="nil"/>
              <w:left w:val="nil"/>
              <w:bottom w:val="single" w:color="auto" w:sz="4" w:space="0"/>
              <w:right w:val="single" w:color="auto" w:sz="4" w:space="0"/>
            </w:tcBorders>
            <w:shd w:val="clear" w:color="auto" w:fill="auto"/>
            <w:noWrap/>
            <w:vAlign w:val="center"/>
          </w:tcPr>
          <w:p w14:paraId="19ADF37F">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压矿砂岩</w:t>
            </w:r>
          </w:p>
        </w:tc>
        <w:tc>
          <w:tcPr>
            <w:tcW w:w="1843" w:type="dxa"/>
            <w:tcBorders>
              <w:top w:val="nil"/>
              <w:left w:val="nil"/>
              <w:bottom w:val="single" w:color="auto" w:sz="4" w:space="0"/>
              <w:right w:val="single" w:color="auto" w:sz="4" w:space="0"/>
            </w:tcBorders>
            <w:shd w:val="clear" w:color="auto" w:fill="auto"/>
            <w:noWrap/>
            <w:vAlign w:val="center"/>
          </w:tcPr>
          <w:p w14:paraId="28C07CB7">
            <w:pPr>
              <w:widowControl/>
              <w:jc w:val="center"/>
              <w:rPr>
                <w:rFonts w:ascii="宋体" w:hAnsi="宋体" w:cs="宋体"/>
                <w:color w:val="000000"/>
                <w:kern w:val="0"/>
                <w:sz w:val="22"/>
                <w:szCs w:val="22"/>
              </w:rPr>
            </w:pPr>
          </w:p>
        </w:tc>
        <w:tc>
          <w:tcPr>
            <w:tcW w:w="1891" w:type="dxa"/>
            <w:vMerge w:val="restart"/>
            <w:tcBorders>
              <w:top w:val="nil"/>
              <w:left w:val="nil"/>
              <w:right w:val="single" w:color="auto" w:sz="4" w:space="0"/>
            </w:tcBorders>
            <w:vAlign w:val="center"/>
          </w:tcPr>
          <w:p w14:paraId="08DC2C20">
            <w:pPr>
              <w:widowControl/>
              <w:jc w:val="center"/>
              <w:rPr>
                <w:rFonts w:ascii="宋体" w:hAnsi="宋体" w:cs="宋体"/>
                <w:color w:val="000000"/>
                <w:kern w:val="0"/>
                <w:sz w:val="22"/>
                <w:szCs w:val="22"/>
              </w:rPr>
            </w:pPr>
            <w:r>
              <w:rPr>
                <w:rFonts w:ascii="宋体" w:hAnsi="宋体" w:cs="宋体"/>
                <w:color w:val="000000"/>
                <w:kern w:val="0"/>
                <w:sz w:val="22"/>
                <w:szCs w:val="22"/>
              </w:rPr>
              <w:t>同上</w:t>
            </w:r>
          </w:p>
        </w:tc>
      </w:tr>
      <w:tr w14:paraId="27CD8303">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5626AB5B">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1DE3E6BE">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压矿白云岩</w:t>
            </w:r>
          </w:p>
        </w:tc>
        <w:tc>
          <w:tcPr>
            <w:tcW w:w="1843" w:type="dxa"/>
            <w:tcBorders>
              <w:top w:val="nil"/>
              <w:left w:val="nil"/>
              <w:bottom w:val="single" w:color="auto" w:sz="4" w:space="0"/>
              <w:right w:val="single" w:color="auto" w:sz="4" w:space="0"/>
            </w:tcBorders>
            <w:shd w:val="clear" w:color="auto" w:fill="auto"/>
            <w:noWrap/>
            <w:vAlign w:val="center"/>
          </w:tcPr>
          <w:p w14:paraId="3B7B46C1">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258E1E88">
            <w:pPr>
              <w:widowControl/>
              <w:jc w:val="center"/>
              <w:rPr>
                <w:rFonts w:ascii="宋体" w:hAnsi="宋体" w:cs="宋体"/>
                <w:color w:val="000000"/>
                <w:kern w:val="0"/>
                <w:sz w:val="22"/>
                <w:szCs w:val="22"/>
              </w:rPr>
            </w:pPr>
          </w:p>
        </w:tc>
      </w:tr>
      <w:tr w14:paraId="2F0D68B0">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0173FC1F">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3B0D122C">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境界内白云岩</w:t>
            </w:r>
          </w:p>
        </w:tc>
        <w:tc>
          <w:tcPr>
            <w:tcW w:w="1843" w:type="dxa"/>
            <w:tcBorders>
              <w:top w:val="nil"/>
              <w:left w:val="nil"/>
              <w:bottom w:val="single" w:color="auto" w:sz="4" w:space="0"/>
              <w:right w:val="single" w:color="auto" w:sz="4" w:space="0"/>
            </w:tcBorders>
            <w:shd w:val="clear" w:color="auto" w:fill="auto"/>
            <w:noWrap/>
            <w:vAlign w:val="center"/>
          </w:tcPr>
          <w:p w14:paraId="62E435C7">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3E206AB8">
            <w:pPr>
              <w:widowControl/>
              <w:jc w:val="center"/>
              <w:rPr>
                <w:rFonts w:ascii="宋体" w:hAnsi="宋体" w:cs="宋体"/>
                <w:color w:val="000000"/>
                <w:kern w:val="0"/>
                <w:sz w:val="22"/>
                <w:szCs w:val="22"/>
              </w:rPr>
            </w:pPr>
          </w:p>
        </w:tc>
      </w:tr>
      <w:tr w14:paraId="7253B38E">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3B46A154">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43D2DB5B">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境界内砂岩</w:t>
            </w:r>
          </w:p>
        </w:tc>
        <w:tc>
          <w:tcPr>
            <w:tcW w:w="1843" w:type="dxa"/>
            <w:tcBorders>
              <w:top w:val="nil"/>
              <w:left w:val="nil"/>
              <w:bottom w:val="single" w:color="auto" w:sz="4" w:space="0"/>
              <w:right w:val="single" w:color="auto" w:sz="4" w:space="0"/>
            </w:tcBorders>
            <w:shd w:val="clear" w:color="auto" w:fill="auto"/>
            <w:noWrap/>
            <w:vAlign w:val="center"/>
          </w:tcPr>
          <w:p w14:paraId="57323A29">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6A12423E">
            <w:pPr>
              <w:widowControl/>
              <w:jc w:val="center"/>
              <w:rPr>
                <w:rFonts w:ascii="宋体" w:hAnsi="宋体" w:cs="宋体"/>
                <w:color w:val="000000"/>
                <w:kern w:val="0"/>
                <w:sz w:val="22"/>
                <w:szCs w:val="22"/>
              </w:rPr>
            </w:pPr>
          </w:p>
        </w:tc>
      </w:tr>
      <w:tr w14:paraId="00A7233B">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602410B3">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26B697D6">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境界内剥离</w:t>
            </w:r>
          </w:p>
        </w:tc>
        <w:tc>
          <w:tcPr>
            <w:tcW w:w="1843" w:type="dxa"/>
            <w:tcBorders>
              <w:top w:val="nil"/>
              <w:left w:val="nil"/>
              <w:bottom w:val="single" w:color="auto" w:sz="4" w:space="0"/>
              <w:right w:val="single" w:color="auto" w:sz="4" w:space="0"/>
            </w:tcBorders>
            <w:shd w:val="clear" w:color="auto" w:fill="auto"/>
            <w:noWrap/>
            <w:vAlign w:val="center"/>
          </w:tcPr>
          <w:p w14:paraId="2456ED86">
            <w:pPr>
              <w:widowControl/>
              <w:jc w:val="center"/>
              <w:rPr>
                <w:rFonts w:ascii="宋体" w:hAnsi="宋体" w:cs="宋体"/>
                <w:color w:val="000000"/>
                <w:kern w:val="0"/>
                <w:sz w:val="22"/>
                <w:szCs w:val="22"/>
              </w:rPr>
            </w:pPr>
          </w:p>
        </w:tc>
        <w:tc>
          <w:tcPr>
            <w:tcW w:w="1891" w:type="dxa"/>
            <w:vMerge w:val="continue"/>
            <w:tcBorders>
              <w:left w:val="nil"/>
              <w:bottom w:val="single" w:color="auto" w:sz="4" w:space="0"/>
              <w:right w:val="single" w:color="auto" w:sz="4" w:space="0"/>
            </w:tcBorders>
            <w:vAlign w:val="center"/>
          </w:tcPr>
          <w:p w14:paraId="01A2555E">
            <w:pPr>
              <w:widowControl/>
              <w:jc w:val="center"/>
              <w:rPr>
                <w:rFonts w:ascii="宋体" w:hAnsi="宋体" w:cs="宋体"/>
                <w:color w:val="000000"/>
                <w:kern w:val="0"/>
                <w:sz w:val="22"/>
                <w:szCs w:val="22"/>
              </w:rPr>
            </w:pPr>
          </w:p>
        </w:tc>
      </w:tr>
      <w:tr w14:paraId="52747E46">
        <w:tblPrEx>
          <w:tblCellMar>
            <w:top w:w="0" w:type="dxa"/>
            <w:left w:w="108" w:type="dxa"/>
            <w:bottom w:w="0" w:type="dxa"/>
            <w:right w:w="108" w:type="dxa"/>
          </w:tblCellMar>
        </w:tblPrEx>
        <w:trPr>
          <w:trHeight w:val="288" w:hRule="atLeast"/>
          <w:jc w:val="center"/>
        </w:trPr>
        <w:tc>
          <w:tcPr>
            <w:tcW w:w="1691" w:type="dxa"/>
            <w:vMerge w:val="restart"/>
            <w:tcBorders>
              <w:top w:val="nil"/>
              <w:left w:val="single" w:color="auto" w:sz="4" w:space="0"/>
              <w:bottom w:val="single" w:color="auto" w:sz="4" w:space="0"/>
              <w:right w:val="single" w:color="auto" w:sz="4" w:space="0"/>
            </w:tcBorders>
            <w:shd w:val="clear" w:color="auto" w:fill="auto"/>
            <w:noWrap/>
            <w:vAlign w:val="center"/>
          </w:tcPr>
          <w:p w14:paraId="62B38792">
            <w:pPr>
              <w:widowControl/>
              <w:jc w:val="center"/>
              <w:rPr>
                <w:rFonts w:ascii="宋体" w:hAnsi="宋体" w:cs="宋体"/>
                <w:color w:val="000000"/>
                <w:kern w:val="0"/>
                <w:sz w:val="22"/>
                <w:szCs w:val="22"/>
              </w:rPr>
            </w:pPr>
            <w:r>
              <w:rPr>
                <w:rFonts w:hint="eastAsia" w:ascii="宋体" w:hAnsi="宋体" w:cs="宋体"/>
                <w:color w:val="000000"/>
                <w:kern w:val="0"/>
                <w:sz w:val="22"/>
                <w:szCs w:val="22"/>
              </w:rPr>
              <w:t>190～200</w:t>
            </w:r>
          </w:p>
        </w:tc>
        <w:tc>
          <w:tcPr>
            <w:tcW w:w="1955" w:type="dxa"/>
            <w:tcBorders>
              <w:top w:val="nil"/>
              <w:left w:val="nil"/>
              <w:bottom w:val="single" w:color="auto" w:sz="4" w:space="0"/>
              <w:right w:val="single" w:color="auto" w:sz="4" w:space="0"/>
            </w:tcBorders>
            <w:shd w:val="clear" w:color="auto" w:fill="auto"/>
            <w:noWrap/>
            <w:vAlign w:val="center"/>
          </w:tcPr>
          <w:p w14:paraId="67A2F475">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压矿砂岩</w:t>
            </w:r>
          </w:p>
        </w:tc>
        <w:tc>
          <w:tcPr>
            <w:tcW w:w="1843" w:type="dxa"/>
            <w:tcBorders>
              <w:top w:val="nil"/>
              <w:left w:val="nil"/>
              <w:bottom w:val="single" w:color="auto" w:sz="4" w:space="0"/>
              <w:right w:val="single" w:color="auto" w:sz="4" w:space="0"/>
            </w:tcBorders>
            <w:shd w:val="clear" w:color="auto" w:fill="auto"/>
            <w:noWrap/>
            <w:vAlign w:val="center"/>
          </w:tcPr>
          <w:p w14:paraId="47DF253F">
            <w:pPr>
              <w:widowControl/>
              <w:jc w:val="center"/>
              <w:rPr>
                <w:rFonts w:ascii="宋体" w:hAnsi="宋体" w:cs="宋体"/>
                <w:color w:val="000000"/>
                <w:kern w:val="0"/>
                <w:sz w:val="22"/>
                <w:szCs w:val="22"/>
              </w:rPr>
            </w:pPr>
          </w:p>
        </w:tc>
        <w:tc>
          <w:tcPr>
            <w:tcW w:w="1891" w:type="dxa"/>
            <w:vMerge w:val="restart"/>
            <w:tcBorders>
              <w:top w:val="nil"/>
              <w:left w:val="nil"/>
              <w:right w:val="single" w:color="auto" w:sz="4" w:space="0"/>
            </w:tcBorders>
            <w:vAlign w:val="center"/>
          </w:tcPr>
          <w:p w14:paraId="3320AAA2">
            <w:pPr>
              <w:jc w:val="center"/>
            </w:pPr>
            <w:r>
              <w:rPr>
                <w:rFonts w:ascii="宋体" w:hAnsi="宋体" w:cs="宋体"/>
                <w:color w:val="000000"/>
                <w:kern w:val="0"/>
                <w:sz w:val="22"/>
                <w:szCs w:val="22"/>
              </w:rPr>
              <w:t>同上</w:t>
            </w:r>
          </w:p>
        </w:tc>
      </w:tr>
      <w:tr w14:paraId="69F6FE1C">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540155E1">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3EA90BED">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压矿白云岩</w:t>
            </w:r>
          </w:p>
        </w:tc>
        <w:tc>
          <w:tcPr>
            <w:tcW w:w="1843" w:type="dxa"/>
            <w:tcBorders>
              <w:top w:val="nil"/>
              <w:left w:val="nil"/>
              <w:bottom w:val="single" w:color="auto" w:sz="4" w:space="0"/>
              <w:right w:val="single" w:color="auto" w:sz="4" w:space="0"/>
            </w:tcBorders>
            <w:shd w:val="clear" w:color="auto" w:fill="auto"/>
            <w:noWrap/>
            <w:vAlign w:val="center"/>
          </w:tcPr>
          <w:p w14:paraId="0759D7E1">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291F676F">
            <w:pPr>
              <w:widowControl/>
              <w:jc w:val="center"/>
              <w:rPr>
                <w:rFonts w:ascii="宋体" w:hAnsi="宋体" w:cs="宋体"/>
                <w:color w:val="000000"/>
                <w:kern w:val="0"/>
                <w:sz w:val="22"/>
                <w:szCs w:val="22"/>
              </w:rPr>
            </w:pPr>
          </w:p>
        </w:tc>
      </w:tr>
      <w:tr w14:paraId="29E0B7CE">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3336747C">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6F26EADF">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境界内白云岩</w:t>
            </w:r>
          </w:p>
        </w:tc>
        <w:tc>
          <w:tcPr>
            <w:tcW w:w="1843" w:type="dxa"/>
            <w:tcBorders>
              <w:top w:val="nil"/>
              <w:left w:val="nil"/>
              <w:bottom w:val="single" w:color="auto" w:sz="4" w:space="0"/>
              <w:right w:val="single" w:color="auto" w:sz="4" w:space="0"/>
            </w:tcBorders>
            <w:shd w:val="clear" w:color="auto" w:fill="auto"/>
            <w:noWrap/>
            <w:vAlign w:val="center"/>
          </w:tcPr>
          <w:p w14:paraId="5D6C0B17">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15E19C4C">
            <w:pPr>
              <w:widowControl/>
              <w:jc w:val="center"/>
              <w:rPr>
                <w:rFonts w:ascii="宋体" w:hAnsi="宋体" w:cs="宋体"/>
                <w:color w:val="000000"/>
                <w:kern w:val="0"/>
                <w:sz w:val="22"/>
                <w:szCs w:val="22"/>
              </w:rPr>
            </w:pPr>
          </w:p>
        </w:tc>
      </w:tr>
      <w:tr w14:paraId="22882F93">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73AE5420">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65766188">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境界内砂岩</w:t>
            </w:r>
          </w:p>
        </w:tc>
        <w:tc>
          <w:tcPr>
            <w:tcW w:w="1843" w:type="dxa"/>
            <w:tcBorders>
              <w:top w:val="nil"/>
              <w:left w:val="nil"/>
              <w:bottom w:val="single" w:color="auto" w:sz="4" w:space="0"/>
              <w:right w:val="single" w:color="auto" w:sz="4" w:space="0"/>
            </w:tcBorders>
            <w:shd w:val="clear" w:color="auto" w:fill="auto"/>
            <w:noWrap/>
            <w:vAlign w:val="center"/>
          </w:tcPr>
          <w:p w14:paraId="328A1013">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0A9009B0">
            <w:pPr>
              <w:widowControl/>
              <w:jc w:val="center"/>
              <w:rPr>
                <w:rFonts w:ascii="宋体" w:hAnsi="宋体" w:cs="宋体"/>
                <w:color w:val="000000"/>
                <w:kern w:val="0"/>
                <w:sz w:val="22"/>
                <w:szCs w:val="22"/>
              </w:rPr>
            </w:pPr>
          </w:p>
        </w:tc>
      </w:tr>
      <w:tr w14:paraId="4B2D4554">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69A041B7">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13666F07">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境界内剥离</w:t>
            </w:r>
          </w:p>
        </w:tc>
        <w:tc>
          <w:tcPr>
            <w:tcW w:w="1843" w:type="dxa"/>
            <w:tcBorders>
              <w:top w:val="nil"/>
              <w:left w:val="nil"/>
              <w:bottom w:val="single" w:color="auto" w:sz="4" w:space="0"/>
              <w:right w:val="single" w:color="auto" w:sz="4" w:space="0"/>
            </w:tcBorders>
            <w:shd w:val="clear" w:color="auto" w:fill="auto"/>
            <w:noWrap/>
            <w:vAlign w:val="center"/>
          </w:tcPr>
          <w:p w14:paraId="46489F15">
            <w:pPr>
              <w:widowControl/>
              <w:jc w:val="center"/>
              <w:rPr>
                <w:rFonts w:ascii="宋体" w:hAnsi="宋体" w:cs="宋体"/>
                <w:color w:val="000000"/>
                <w:kern w:val="0"/>
                <w:sz w:val="22"/>
                <w:szCs w:val="22"/>
              </w:rPr>
            </w:pPr>
          </w:p>
        </w:tc>
        <w:tc>
          <w:tcPr>
            <w:tcW w:w="1891" w:type="dxa"/>
            <w:vMerge w:val="continue"/>
            <w:tcBorders>
              <w:left w:val="nil"/>
              <w:bottom w:val="single" w:color="auto" w:sz="4" w:space="0"/>
              <w:right w:val="single" w:color="auto" w:sz="4" w:space="0"/>
            </w:tcBorders>
            <w:vAlign w:val="center"/>
          </w:tcPr>
          <w:p w14:paraId="122CD8AC">
            <w:pPr>
              <w:widowControl/>
              <w:jc w:val="center"/>
              <w:rPr>
                <w:rFonts w:ascii="宋体" w:hAnsi="宋体" w:cs="宋体"/>
                <w:color w:val="000000"/>
                <w:kern w:val="0"/>
                <w:sz w:val="22"/>
                <w:szCs w:val="22"/>
              </w:rPr>
            </w:pPr>
          </w:p>
        </w:tc>
      </w:tr>
      <w:tr w14:paraId="597A1DC5">
        <w:tblPrEx>
          <w:tblCellMar>
            <w:top w:w="0" w:type="dxa"/>
            <w:left w:w="108" w:type="dxa"/>
            <w:bottom w:w="0" w:type="dxa"/>
            <w:right w:w="108" w:type="dxa"/>
          </w:tblCellMar>
        </w:tblPrEx>
        <w:trPr>
          <w:trHeight w:val="288" w:hRule="atLeast"/>
          <w:jc w:val="center"/>
        </w:trPr>
        <w:tc>
          <w:tcPr>
            <w:tcW w:w="1691" w:type="dxa"/>
            <w:vMerge w:val="restart"/>
            <w:tcBorders>
              <w:top w:val="nil"/>
              <w:left w:val="single" w:color="auto" w:sz="4" w:space="0"/>
              <w:bottom w:val="single" w:color="auto" w:sz="4" w:space="0"/>
              <w:right w:val="single" w:color="auto" w:sz="4" w:space="0"/>
            </w:tcBorders>
            <w:shd w:val="clear" w:color="auto" w:fill="auto"/>
            <w:noWrap/>
            <w:vAlign w:val="center"/>
          </w:tcPr>
          <w:p w14:paraId="74114521">
            <w:pPr>
              <w:widowControl/>
              <w:jc w:val="center"/>
              <w:rPr>
                <w:rFonts w:ascii="宋体" w:hAnsi="宋体" w:cs="宋体"/>
                <w:color w:val="000000"/>
                <w:kern w:val="0"/>
                <w:sz w:val="22"/>
                <w:szCs w:val="22"/>
              </w:rPr>
            </w:pPr>
            <w:r>
              <w:rPr>
                <w:rFonts w:hint="eastAsia" w:ascii="宋体" w:hAnsi="宋体" w:cs="宋体"/>
                <w:color w:val="000000"/>
                <w:kern w:val="0"/>
                <w:sz w:val="22"/>
                <w:szCs w:val="22"/>
              </w:rPr>
              <w:t>200～210</w:t>
            </w:r>
          </w:p>
        </w:tc>
        <w:tc>
          <w:tcPr>
            <w:tcW w:w="1955" w:type="dxa"/>
            <w:tcBorders>
              <w:top w:val="nil"/>
              <w:left w:val="nil"/>
              <w:bottom w:val="single" w:color="auto" w:sz="4" w:space="0"/>
              <w:right w:val="single" w:color="auto" w:sz="4" w:space="0"/>
            </w:tcBorders>
            <w:shd w:val="clear" w:color="auto" w:fill="auto"/>
            <w:noWrap/>
            <w:vAlign w:val="center"/>
          </w:tcPr>
          <w:p w14:paraId="5D06FBC1">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压矿砂岩</w:t>
            </w:r>
          </w:p>
        </w:tc>
        <w:tc>
          <w:tcPr>
            <w:tcW w:w="1843" w:type="dxa"/>
            <w:tcBorders>
              <w:top w:val="nil"/>
              <w:left w:val="nil"/>
              <w:bottom w:val="single" w:color="auto" w:sz="4" w:space="0"/>
              <w:right w:val="single" w:color="auto" w:sz="4" w:space="0"/>
            </w:tcBorders>
            <w:shd w:val="clear" w:color="auto" w:fill="auto"/>
            <w:noWrap/>
            <w:vAlign w:val="center"/>
          </w:tcPr>
          <w:p w14:paraId="6E91EE9D">
            <w:pPr>
              <w:widowControl/>
              <w:jc w:val="center"/>
              <w:rPr>
                <w:rFonts w:ascii="宋体" w:hAnsi="宋体" w:cs="宋体"/>
                <w:color w:val="000000"/>
                <w:kern w:val="0"/>
                <w:sz w:val="22"/>
                <w:szCs w:val="22"/>
              </w:rPr>
            </w:pPr>
          </w:p>
        </w:tc>
        <w:tc>
          <w:tcPr>
            <w:tcW w:w="1891" w:type="dxa"/>
            <w:vMerge w:val="restart"/>
            <w:tcBorders>
              <w:top w:val="nil"/>
              <w:left w:val="nil"/>
              <w:right w:val="single" w:color="auto" w:sz="4" w:space="0"/>
            </w:tcBorders>
            <w:vAlign w:val="center"/>
          </w:tcPr>
          <w:p w14:paraId="2BD33BA6">
            <w:pPr>
              <w:jc w:val="center"/>
            </w:pPr>
            <w:r>
              <w:rPr>
                <w:rFonts w:ascii="宋体" w:hAnsi="宋体" w:cs="宋体"/>
                <w:color w:val="000000"/>
                <w:kern w:val="0"/>
                <w:sz w:val="22"/>
                <w:szCs w:val="22"/>
              </w:rPr>
              <w:t>同上</w:t>
            </w:r>
          </w:p>
        </w:tc>
      </w:tr>
      <w:tr w14:paraId="15EF2E04">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6F03F487">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2286AE8F">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压矿白云岩</w:t>
            </w:r>
          </w:p>
        </w:tc>
        <w:tc>
          <w:tcPr>
            <w:tcW w:w="1843" w:type="dxa"/>
            <w:tcBorders>
              <w:top w:val="nil"/>
              <w:left w:val="nil"/>
              <w:bottom w:val="single" w:color="auto" w:sz="4" w:space="0"/>
              <w:right w:val="single" w:color="auto" w:sz="4" w:space="0"/>
            </w:tcBorders>
            <w:shd w:val="clear" w:color="auto" w:fill="auto"/>
            <w:noWrap/>
            <w:vAlign w:val="center"/>
          </w:tcPr>
          <w:p w14:paraId="429D0FF8">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279BD077">
            <w:pPr>
              <w:widowControl/>
              <w:jc w:val="center"/>
              <w:rPr>
                <w:rFonts w:ascii="宋体" w:hAnsi="宋体" w:cs="宋体"/>
                <w:color w:val="000000"/>
                <w:kern w:val="0"/>
                <w:sz w:val="22"/>
                <w:szCs w:val="22"/>
              </w:rPr>
            </w:pPr>
          </w:p>
        </w:tc>
      </w:tr>
      <w:tr w14:paraId="2F4DAF87">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08A30FB8">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1CCA48E8">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境界内白云岩</w:t>
            </w:r>
          </w:p>
        </w:tc>
        <w:tc>
          <w:tcPr>
            <w:tcW w:w="1843" w:type="dxa"/>
            <w:tcBorders>
              <w:top w:val="nil"/>
              <w:left w:val="nil"/>
              <w:bottom w:val="single" w:color="auto" w:sz="4" w:space="0"/>
              <w:right w:val="single" w:color="auto" w:sz="4" w:space="0"/>
            </w:tcBorders>
            <w:shd w:val="clear" w:color="auto" w:fill="auto"/>
            <w:noWrap/>
            <w:vAlign w:val="center"/>
          </w:tcPr>
          <w:p w14:paraId="17BEB69E">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497E8648">
            <w:pPr>
              <w:widowControl/>
              <w:jc w:val="center"/>
              <w:rPr>
                <w:rFonts w:ascii="宋体" w:hAnsi="宋体" w:cs="宋体"/>
                <w:color w:val="000000"/>
                <w:kern w:val="0"/>
                <w:sz w:val="22"/>
                <w:szCs w:val="22"/>
              </w:rPr>
            </w:pPr>
          </w:p>
        </w:tc>
      </w:tr>
      <w:tr w14:paraId="0CFE91A2">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4B6FBDE1">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44DE458A">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境界内砂岩</w:t>
            </w:r>
          </w:p>
        </w:tc>
        <w:tc>
          <w:tcPr>
            <w:tcW w:w="1843" w:type="dxa"/>
            <w:tcBorders>
              <w:top w:val="nil"/>
              <w:left w:val="nil"/>
              <w:bottom w:val="single" w:color="auto" w:sz="4" w:space="0"/>
              <w:right w:val="single" w:color="auto" w:sz="4" w:space="0"/>
            </w:tcBorders>
            <w:shd w:val="clear" w:color="auto" w:fill="auto"/>
            <w:noWrap/>
            <w:vAlign w:val="center"/>
          </w:tcPr>
          <w:p w14:paraId="41599DB0">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28BA8527">
            <w:pPr>
              <w:widowControl/>
              <w:jc w:val="center"/>
              <w:rPr>
                <w:rFonts w:ascii="宋体" w:hAnsi="宋体" w:cs="宋体"/>
                <w:color w:val="000000"/>
                <w:kern w:val="0"/>
                <w:sz w:val="22"/>
                <w:szCs w:val="22"/>
              </w:rPr>
            </w:pPr>
          </w:p>
        </w:tc>
      </w:tr>
      <w:tr w14:paraId="1E183C02">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17362831">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1A285711">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境界内剥离</w:t>
            </w:r>
          </w:p>
        </w:tc>
        <w:tc>
          <w:tcPr>
            <w:tcW w:w="1843" w:type="dxa"/>
            <w:tcBorders>
              <w:top w:val="nil"/>
              <w:left w:val="nil"/>
              <w:bottom w:val="single" w:color="auto" w:sz="4" w:space="0"/>
              <w:right w:val="single" w:color="auto" w:sz="4" w:space="0"/>
            </w:tcBorders>
            <w:shd w:val="clear" w:color="auto" w:fill="auto"/>
            <w:noWrap/>
            <w:vAlign w:val="center"/>
          </w:tcPr>
          <w:p w14:paraId="4A085A6A">
            <w:pPr>
              <w:widowControl/>
              <w:jc w:val="center"/>
              <w:rPr>
                <w:rFonts w:ascii="宋体" w:hAnsi="宋体" w:cs="宋体"/>
                <w:color w:val="000000"/>
                <w:kern w:val="0"/>
                <w:sz w:val="22"/>
                <w:szCs w:val="22"/>
              </w:rPr>
            </w:pPr>
          </w:p>
        </w:tc>
        <w:tc>
          <w:tcPr>
            <w:tcW w:w="1891" w:type="dxa"/>
            <w:vMerge w:val="continue"/>
            <w:tcBorders>
              <w:left w:val="nil"/>
              <w:bottom w:val="single" w:color="auto" w:sz="4" w:space="0"/>
              <w:right w:val="single" w:color="auto" w:sz="4" w:space="0"/>
            </w:tcBorders>
            <w:vAlign w:val="center"/>
          </w:tcPr>
          <w:p w14:paraId="54E1A8C2">
            <w:pPr>
              <w:widowControl/>
              <w:jc w:val="center"/>
              <w:rPr>
                <w:rFonts w:ascii="宋体" w:hAnsi="宋体" w:cs="宋体"/>
                <w:color w:val="000000"/>
                <w:kern w:val="0"/>
                <w:sz w:val="22"/>
                <w:szCs w:val="22"/>
              </w:rPr>
            </w:pPr>
          </w:p>
        </w:tc>
      </w:tr>
      <w:tr w14:paraId="3363C57E">
        <w:tblPrEx>
          <w:tblCellMar>
            <w:top w:w="0" w:type="dxa"/>
            <w:left w:w="108" w:type="dxa"/>
            <w:bottom w:w="0" w:type="dxa"/>
            <w:right w:w="108" w:type="dxa"/>
          </w:tblCellMar>
        </w:tblPrEx>
        <w:trPr>
          <w:trHeight w:val="288" w:hRule="atLeast"/>
          <w:jc w:val="center"/>
        </w:trPr>
        <w:tc>
          <w:tcPr>
            <w:tcW w:w="1691" w:type="dxa"/>
            <w:vMerge w:val="restart"/>
            <w:tcBorders>
              <w:top w:val="nil"/>
              <w:left w:val="single" w:color="auto" w:sz="4" w:space="0"/>
              <w:bottom w:val="single" w:color="auto" w:sz="4" w:space="0"/>
              <w:right w:val="single" w:color="auto" w:sz="4" w:space="0"/>
            </w:tcBorders>
            <w:shd w:val="clear" w:color="auto" w:fill="auto"/>
            <w:noWrap/>
            <w:vAlign w:val="center"/>
          </w:tcPr>
          <w:p w14:paraId="3CD12061">
            <w:pPr>
              <w:widowControl/>
              <w:jc w:val="center"/>
              <w:rPr>
                <w:rFonts w:ascii="宋体" w:hAnsi="宋体" w:cs="宋体"/>
                <w:color w:val="000000"/>
                <w:kern w:val="0"/>
                <w:sz w:val="22"/>
                <w:szCs w:val="22"/>
              </w:rPr>
            </w:pPr>
            <w:r>
              <w:rPr>
                <w:rFonts w:hint="eastAsia" w:ascii="宋体" w:hAnsi="宋体" w:cs="宋体"/>
                <w:color w:val="000000"/>
                <w:kern w:val="0"/>
                <w:sz w:val="22"/>
                <w:szCs w:val="22"/>
              </w:rPr>
              <w:t>210～220</w:t>
            </w:r>
          </w:p>
        </w:tc>
        <w:tc>
          <w:tcPr>
            <w:tcW w:w="1955" w:type="dxa"/>
            <w:tcBorders>
              <w:top w:val="nil"/>
              <w:left w:val="nil"/>
              <w:bottom w:val="single" w:color="auto" w:sz="4" w:space="0"/>
              <w:right w:val="single" w:color="auto" w:sz="4" w:space="0"/>
            </w:tcBorders>
            <w:shd w:val="clear" w:color="auto" w:fill="auto"/>
            <w:noWrap/>
            <w:vAlign w:val="center"/>
          </w:tcPr>
          <w:p w14:paraId="68FAB3E8">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压矿砂岩</w:t>
            </w:r>
          </w:p>
        </w:tc>
        <w:tc>
          <w:tcPr>
            <w:tcW w:w="1843" w:type="dxa"/>
            <w:tcBorders>
              <w:top w:val="nil"/>
              <w:left w:val="nil"/>
              <w:bottom w:val="single" w:color="auto" w:sz="4" w:space="0"/>
              <w:right w:val="single" w:color="auto" w:sz="4" w:space="0"/>
            </w:tcBorders>
            <w:shd w:val="clear" w:color="auto" w:fill="auto"/>
            <w:noWrap/>
            <w:vAlign w:val="center"/>
          </w:tcPr>
          <w:p w14:paraId="4D33F1BB">
            <w:pPr>
              <w:widowControl/>
              <w:jc w:val="center"/>
              <w:rPr>
                <w:rFonts w:ascii="宋体" w:hAnsi="宋体" w:cs="宋体"/>
                <w:color w:val="000000"/>
                <w:kern w:val="0"/>
                <w:sz w:val="22"/>
                <w:szCs w:val="22"/>
              </w:rPr>
            </w:pPr>
          </w:p>
        </w:tc>
        <w:tc>
          <w:tcPr>
            <w:tcW w:w="1891" w:type="dxa"/>
            <w:vMerge w:val="restart"/>
            <w:tcBorders>
              <w:top w:val="nil"/>
              <w:left w:val="nil"/>
              <w:right w:val="single" w:color="auto" w:sz="4" w:space="0"/>
            </w:tcBorders>
            <w:vAlign w:val="center"/>
          </w:tcPr>
          <w:p w14:paraId="0CB62BA1">
            <w:pPr>
              <w:jc w:val="center"/>
            </w:pPr>
            <w:r>
              <w:rPr>
                <w:rFonts w:ascii="宋体" w:hAnsi="宋体" w:cs="宋体"/>
                <w:color w:val="000000"/>
                <w:kern w:val="0"/>
                <w:sz w:val="22"/>
                <w:szCs w:val="22"/>
              </w:rPr>
              <w:t>同上</w:t>
            </w:r>
          </w:p>
        </w:tc>
      </w:tr>
      <w:tr w14:paraId="5BA6E4A0">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037935DC">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367D298A">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压矿白云岩</w:t>
            </w:r>
          </w:p>
        </w:tc>
        <w:tc>
          <w:tcPr>
            <w:tcW w:w="1843" w:type="dxa"/>
            <w:tcBorders>
              <w:top w:val="nil"/>
              <w:left w:val="nil"/>
              <w:bottom w:val="single" w:color="auto" w:sz="4" w:space="0"/>
              <w:right w:val="single" w:color="auto" w:sz="4" w:space="0"/>
            </w:tcBorders>
            <w:shd w:val="clear" w:color="auto" w:fill="auto"/>
            <w:noWrap/>
            <w:vAlign w:val="center"/>
          </w:tcPr>
          <w:p w14:paraId="7741F6BB">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7C555D00">
            <w:pPr>
              <w:widowControl/>
              <w:jc w:val="center"/>
              <w:rPr>
                <w:rFonts w:ascii="宋体" w:hAnsi="宋体" w:cs="宋体"/>
                <w:color w:val="000000"/>
                <w:kern w:val="0"/>
                <w:sz w:val="22"/>
                <w:szCs w:val="22"/>
              </w:rPr>
            </w:pPr>
          </w:p>
        </w:tc>
      </w:tr>
      <w:tr w14:paraId="387BD779">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3B7BE112">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18FCF116">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境界内白云岩</w:t>
            </w:r>
          </w:p>
        </w:tc>
        <w:tc>
          <w:tcPr>
            <w:tcW w:w="1843" w:type="dxa"/>
            <w:tcBorders>
              <w:top w:val="nil"/>
              <w:left w:val="nil"/>
              <w:bottom w:val="single" w:color="auto" w:sz="4" w:space="0"/>
              <w:right w:val="single" w:color="auto" w:sz="4" w:space="0"/>
            </w:tcBorders>
            <w:shd w:val="clear" w:color="auto" w:fill="auto"/>
            <w:noWrap/>
            <w:vAlign w:val="center"/>
          </w:tcPr>
          <w:p w14:paraId="48031BD4">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61A19C89">
            <w:pPr>
              <w:widowControl/>
              <w:jc w:val="center"/>
              <w:rPr>
                <w:rFonts w:ascii="宋体" w:hAnsi="宋体" w:cs="宋体"/>
                <w:color w:val="000000"/>
                <w:kern w:val="0"/>
                <w:sz w:val="22"/>
                <w:szCs w:val="22"/>
              </w:rPr>
            </w:pPr>
          </w:p>
        </w:tc>
      </w:tr>
      <w:tr w14:paraId="20E175FF">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2FCEA70D">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48C66949">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境界内砂岩</w:t>
            </w:r>
          </w:p>
        </w:tc>
        <w:tc>
          <w:tcPr>
            <w:tcW w:w="1843" w:type="dxa"/>
            <w:tcBorders>
              <w:top w:val="nil"/>
              <w:left w:val="nil"/>
              <w:bottom w:val="single" w:color="auto" w:sz="4" w:space="0"/>
              <w:right w:val="single" w:color="auto" w:sz="4" w:space="0"/>
            </w:tcBorders>
            <w:shd w:val="clear" w:color="auto" w:fill="auto"/>
            <w:noWrap/>
            <w:vAlign w:val="center"/>
          </w:tcPr>
          <w:p w14:paraId="3FF43134">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41F8407E">
            <w:pPr>
              <w:widowControl/>
              <w:jc w:val="center"/>
              <w:rPr>
                <w:rFonts w:ascii="宋体" w:hAnsi="宋体" w:cs="宋体"/>
                <w:color w:val="000000"/>
                <w:kern w:val="0"/>
                <w:sz w:val="22"/>
                <w:szCs w:val="22"/>
              </w:rPr>
            </w:pPr>
          </w:p>
        </w:tc>
      </w:tr>
      <w:tr w14:paraId="5AB844F4">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48765487">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1F564B87">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境界内剥离</w:t>
            </w:r>
          </w:p>
        </w:tc>
        <w:tc>
          <w:tcPr>
            <w:tcW w:w="1843" w:type="dxa"/>
            <w:tcBorders>
              <w:top w:val="nil"/>
              <w:left w:val="nil"/>
              <w:bottom w:val="single" w:color="auto" w:sz="4" w:space="0"/>
              <w:right w:val="single" w:color="auto" w:sz="4" w:space="0"/>
            </w:tcBorders>
            <w:shd w:val="clear" w:color="auto" w:fill="auto"/>
            <w:noWrap/>
            <w:vAlign w:val="center"/>
          </w:tcPr>
          <w:p w14:paraId="3550C4AF">
            <w:pPr>
              <w:widowControl/>
              <w:jc w:val="center"/>
              <w:rPr>
                <w:rFonts w:ascii="宋体" w:hAnsi="宋体" w:cs="宋体"/>
                <w:color w:val="000000"/>
                <w:kern w:val="0"/>
                <w:sz w:val="22"/>
                <w:szCs w:val="22"/>
              </w:rPr>
            </w:pPr>
          </w:p>
        </w:tc>
        <w:tc>
          <w:tcPr>
            <w:tcW w:w="1891" w:type="dxa"/>
            <w:vMerge w:val="continue"/>
            <w:tcBorders>
              <w:left w:val="nil"/>
              <w:bottom w:val="single" w:color="auto" w:sz="4" w:space="0"/>
              <w:right w:val="single" w:color="auto" w:sz="4" w:space="0"/>
            </w:tcBorders>
            <w:vAlign w:val="center"/>
          </w:tcPr>
          <w:p w14:paraId="5DF57031">
            <w:pPr>
              <w:widowControl/>
              <w:jc w:val="center"/>
              <w:rPr>
                <w:rFonts w:ascii="宋体" w:hAnsi="宋体" w:cs="宋体"/>
                <w:color w:val="000000"/>
                <w:kern w:val="0"/>
                <w:sz w:val="22"/>
                <w:szCs w:val="22"/>
              </w:rPr>
            </w:pPr>
          </w:p>
        </w:tc>
      </w:tr>
      <w:tr w14:paraId="63D20B4F">
        <w:tblPrEx>
          <w:tblCellMar>
            <w:top w:w="0" w:type="dxa"/>
            <w:left w:w="108" w:type="dxa"/>
            <w:bottom w:w="0" w:type="dxa"/>
            <w:right w:w="108" w:type="dxa"/>
          </w:tblCellMar>
        </w:tblPrEx>
        <w:trPr>
          <w:trHeight w:val="288" w:hRule="atLeast"/>
          <w:jc w:val="center"/>
        </w:trPr>
        <w:tc>
          <w:tcPr>
            <w:tcW w:w="1691" w:type="dxa"/>
            <w:vMerge w:val="restart"/>
            <w:tcBorders>
              <w:top w:val="nil"/>
              <w:left w:val="single" w:color="auto" w:sz="4" w:space="0"/>
              <w:bottom w:val="single" w:color="auto" w:sz="4" w:space="0"/>
              <w:right w:val="single" w:color="auto" w:sz="4" w:space="0"/>
            </w:tcBorders>
            <w:shd w:val="clear" w:color="auto" w:fill="auto"/>
            <w:noWrap/>
            <w:vAlign w:val="center"/>
          </w:tcPr>
          <w:p w14:paraId="781DBBA1">
            <w:pPr>
              <w:widowControl/>
              <w:jc w:val="center"/>
              <w:rPr>
                <w:rFonts w:ascii="宋体" w:hAnsi="宋体" w:cs="宋体"/>
                <w:color w:val="000000"/>
                <w:kern w:val="0"/>
                <w:sz w:val="22"/>
                <w:szCs w:val="22"/>
              </w:rPr>
            </w:pPr>
            <w:r>
              <w:rPr>
                <w:rFonts w:hint="eastAsia" w:ascii="宋体" w:hAnsi="宋体" w:cs="宋体"/>
                <w:color w:val="000000"/>
                <w:kern w:val="0"/>
                <w:sz w:val="22"/>
                <w:szCs w:val="22"/>
              </w:rPr>
              <w:t>220～230</w:t>
            </w:r>
          </w:p>
        </w:tc>
        <w:tc>
          <w:tcPr>
            <w:tcW w:w="1955" w:type="dxa"/>
            <w:tcBorders>
              <w:top w:val="nil"/>
              <w:left w:val="nil"/>
              <w:bottom w:val="single" w:color="auto" w:sz="4" w:space="0"/>
              <w:right w:val="single" w:color="auto" w:sz="4" w:space="0"/>
            </w:tcBorders>
            <w:shd w:val="clear" w:color="auto" w:fill="auto"/>
            <w:noWrap/>
            <w:vAlign w:val="center"/>
          </w:tcPr>
          <w:p w14:paraId="0A17FF33">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压矿砂岩</w:t>
            </w:r>
          </w:p>
        </w:tc>
        <w:tc>
          <w:tcPr>
            <w:tcW w:w="1843" w:type="dxa"/>
            <w:tcBorders>
              <w:top w:val="nil"/>
              <w:left w:val="nil"/>
              <w:bottom w:val="single" w:color="auto" w:sz="4" w:space="0"/>
              <w:right w:val="single" w:color="auto" w:sz="4" w:space="0"/>
            </w:tcBorders>
            <w:shd w:val="clear" w:color="auto" w:fill="auto"/>
            <w:noWrap/>
            <w:vAlign w:val="center"/>
          </w:tcPr>
          <w:p w14:paraId="49BC7F5D">
            <w:pPr>
              <w:widowControl/>
              <w:jc w:val="center"/>
              <w:rPr>
                <w:rFonts w:ascii="宋体" w:hAnsi="宋体" w:cs="宋体"/>
                <w:color w:val="000000"/>
                <w:kern w:val="0"/>
                <w:sz w:val="22"/>
                <w:szCs w:val="22"/>
              </w:rPr>
            </w:pPr>
          </w:p>
        </w:tc>
        <w:tc>
          <w:tcPr>
            <w:tcW w:w="1891" w:type="dxa"/>
            <w:vMerge w:val="restart"/>
            <w:tcBorders>
              <w:top w:val="nil"/>
              <w:left w:val="nil"/>
              <w:right w:val="single" w:color="auto" w:sz="4" w:space="0"/>
            </w:tcBorders>
            <w:vAlign w:val="center"/>
          </w:tcPr>
          <w:p w14:paraId="2E5C8046">
            <w:pPr>
              <w:jc w:val="center"/>
            </w:pPr>
            <w:r>
              <w:rPr>
                <w:rFonts w:ascii="宋体" w:hAnsi="宋体" w:cs="宋体"/>
                <w:color w:val="000000"/>
                <w:kern w:val="0"/>
                <w:sz w:val="22"/>
                <w:szCs w:val="22"/>
              </w:rPr>
              <w:t>同上</w:t>
            </w:r>
          </w:p>
        </w:tc>
      </w:tr>
      <w:tr w14:paraId="1233A93D">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70E311A1">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5F5684E9">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压矿白云岩</w:t>
            </w:r>
          </w:p>
        </w:tc>
        <w:tc>
          <w:tcPr>
            <w:tcW w:w="1843" w:type="dxa"/>
            <w:tcBorders>
              <w:top w:val="nil"/>
              <w:left w:val="nil"/>
              <w:bottom w:val="single" w:color="auto" w:sz="4" w:space="0"/>
              <w:right w:val="single" w:color="auto" w:sz="4" w:space="0"/>
            </w:tcBorders>
            <w:shd w:val="clear" w:color="auto" w:fill="auto"/>
            <w:noWrap/>
            <w:vAlign w:val="center"/>
          </w:tcPr>
          <w:p w14:paraId="285D96BA">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5802A6ED">
            <w:pPr>
              <w:widowControl/>
              <w:jc w:val="center"/>
              <w:rPr>
                <w:rFonts w:ascii="宋体" w:hAnsi="宋体" w:cs="宋体"/>
                <w:color w:val="000000"/>
                <w:kern w:val="0"/>
                <w:sz w:val="22"/>
                <w:szCs w:val="22"/>
              </w:rPr>
            </w:pPr>
          </w:p>
        </w:tc>
      </w:tr>
      <w:tr w14:paraId="37AE781B">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42BE430E">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39F7EF2A">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境界内白云岩</w:t>
            </w:r>
          </w:p>
        </w:tc>
        <w:tc>
          <w:tcPr>
            <w:tcW w:w="1843" w:type="dxa"/>
            <w:tcBorders>
              <w:top w:val="nil"/>
              <w:left w:val="nil"/>
              <w:bottom w:val="single" w:color="auto" w:sz="4" w:space="0"/>
              <w:right w:val="single" w:color="auto" w:sz="4" w:space="0"/>
            </w:tcBorders>
            <w:shd w:val="clear" w:color="auto" w:fill="auto"/>
            <w:noWrap/>
            <w:vAlign w:val="center"/>
          </w:tcPr>
          <w:p w14:paraId="4F919771">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5582993F">
            <w:pPr>
              <w:widowControl/>
              <w:jc w:val="center"/>
              <w:rPr>
                <w:rFonts w:ascii="宋体" w:hAnsi="宋体" w:cs="宋体"/>
                <w:color w:val="000000"/>
                <w:kern w:val="0"/>
                <w:sz w:val="22"/>
                <w:szCs w:val="22"/>
              </w:rPr>
            </w:pPr>
          </w:p>
        </w:tc>
      </w:tr>
      <w:tr w14:paraId="35C1D513">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4EA5EB44">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2168FF68">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境界内砂岩</w:t>
            </w:r>
          </w:p>
        </w:tc>
        <w:tc>
          <w:tcPr>
            <w:tcW w:w="1843" w:type="dxa"/>
            <w:tcBorders>
              <w:top w:val="nil"/>
              <w:left w:val="nil"/>
              <w:bottom w:val="single" w:color="auto" w:sz="4" w:space="0"/>
              <w:right w:val="single" w:color="auto" w:sz="4" w:space="0"/>
            </w:tcBorders>
            <w:shd w:val="clear" w:color="auto" w:fill="auto"/>
            <w:noWrap/>
            <w:vAlign w:val="center"/>
          </w:tcPr>
          <w:p w14:paraId="28A96EFD">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65638702">
            <w:pPr>
              <w:widowControl/>
              <w:jc w:val="center"/>
              <w:rPr>
                <w:rFonts w:ascii="宋体" w:hAnsi="宋体" w:cs="宋体"/>
                <w:color w:val="000000"/>
                <w:kern w:val="0"/>
                <w:sz w:val="22"/>
                <w:szCs w:val="22"/>
              </w:rPr>
            </w:pPr>
          </w:p>
        </w:tc>
      </w:tr>
      <w:tr w14:paraId="56BF6478">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4D603FE9">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00E567F9">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境界内剥离</w:t>
            </w:r>
          </w:p>
        </w:tc>
        <w:tc>
          <w:tcPr>
            <w:tcW w:w="1843" w:type="dxa"/>
            <w:tcBorders>
              <w:top w:val="nil"/>
              <w:left w:val="nil"/>
              <w:bottom w:val="single" w:color="auto" w:sz="4" w:space="0"/>
              <w:right w:val="single" w:color="auto" w:sz="4" w:space="0"/>
            </w:tcBorders>
            <w:shd w:val="clear" w:color="auto" w:fill="auto"/>
            <w:noWrap/>
            <w:vAlign w:val="center"/>
          </w:tcPr>
          <w:p w14:paraId="19AA2A9D">
            <w:pPr>
              <w:widowControl/>
              <w:jc w:val="center"/>
              <w:rPr>
                <w:rFonts w:ascii="宋体" w:hAnsi="宋体" w:cs="宋体"/>
                <w:color w:val="000000"/>
                <w:kern w:val="0"/>
                <w:sz w:val="22"/>
                <w:szCs w:val="22"/>
              </w:rPr>
            </w:pPr>
          </w:p>
        </w:tc>
        <w:tc>
          <w:tcPr>
            <w:tcW w:w="1891" w:type="dxa"/>
            <w:vMerge w:val="continue"/>
            <w:tcBorders>
              <w:left w:val="nil"/>
              <w:bottom w:val="single" w:color="auto" w:sz="4" w:space="0"/>
              <w:right w:val="single" w:color="auto" w:sz="4" w:space="0"/>
            </w:tcBorders>
            <w:vAlign w:val="center"/>
          </w:tcPr>
          <w:p w14:paraId="68C2D71A">
            <w:pPr>
              <w:widowControl/>
              <w:jc w:val="center"/>
              <w:rPr>
                <w:rFonts w:ascii="宋体" w:hAnsi="宋体" w:cs="宋体"/>
                <w:color w:val="000000"/>
                <w:kern w:val="0"/>
                <w:sz w:val="22"/>
                <w:szCs w:val="22"/>
              </w:rPr>
            </w:pPr>
          </w:p>
        </w:tc>
      </w:tr>
      <w:tr w14:paraId="3AC277DD">
        <w:tblPrEx>
          <w:tblCellMar>
            <w:top w:w="0" w:type="dxa"/>
            <w:left w:w="108" w:type="dxa"/>
            <w:bottom w:w="0" w:type="dxa"/>
            <w:right w:w="108" w:type="dxa"/>
          </w:tblCellMar>
        </w:tblPrEx>
        <w:trPr>
          <w:trHeight w:val="288" w:hRule="atLeast"/>
          <w:jc w:val="center"/>
        </w:trPr>
        <w:tc>
          <w:tcPr>
            <w:tcW w:w="1691" w:type="dxa"/>
            <w:vMerge w:val="restart"/>
            <w:tcBorders>
              <w:top w:val="nil"/>
              <w:left w:val="single" w:color="auto" w:sz="4" w:space="0"/>
              <w:bottom w:val="single" w:color="auto" w:sz="4" w:space="0"/>
              <w:right w:val="single" w:color="auto" w:sz="4" w:space="0"/>
            </w:tcBorders>
            <w:shd w:val="clear" w:color="auto" w:fill="auto"/>
            <w:noWrap/>
            <w:vAlign w:val="center"/>
          </w:tcPr>
          <w:p w14:paraId="2423BB70">
            <w:pPr>
              <w:widowControl/>
              <w:jc w:val="center"/>
              <w:rPr>
                <w:rFonts w:ascii="宋体" w:hAnsi="宋体" w:cs="宋体"/>
                <w:color w:val="000000"/>
                <w:kern w:val="0"/>
                <w:sz w:val="22"/>
                <w:szCs w:val="22"/>
              </w:rPr>
            </w:pPr>
            <w:r>
              <w:rPr>
                <w:rFonts w:hint="eastAsia" w:ascii="宋体" w:hAnsi="宋体" w:cs="宋体"/>
                <w:color w:val="000000"/>
                <w:kern w:val="0"/>
                <w:sz w:val="22"/>
                <w:szCs w:val="22"/>
              </w:rPr>
              <w:t>230～240</w:t>
            </w:r>
          </w:p>
        </w:tc>
        <w:tc>
          <w:tcPr>
            <w:tcW w:w="1955" w:type="dxa"/>
            <w:tcBorders>
              <w:top w:val="nil"/>
              <w:left w:val="nil"/>
              <w:bottom w:val="single" w:color="auto" w:sz="4" w:space="0"/>
              <w:right w:val="single" w:color="auto" w:sz="4" w:space="0"/>
            </w:tcBorders>
            <w:shd w:val="clear" w:color="auto" w:fill="auto"/>
            <w:noWrap/>
            <w:vAlign w:val="center"/>
          </w:tcPr>
          <w:p w14:paraId="3267DAFA">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压矿砂岩</w:t>
            </w:r>
          </w:p>
        </w:tc>
        <w:tc>
          <w:tcPr>
            <w:tcW w:w="1843" w:type="dxa"/>
            <w:tcBorders>
              <w:top w:val="nil"/>
              <w:left w:val="nil"/>
              <w:bottom w:val="single" w:color="auto" w:sz="4" w:space="0"/>
              <w:right w:val="single" w:color="auto" w:sz="4" w:space="0"/>
            </w:tcBorders>
            <w:shd w:val="clear" w:color="auto" w:fill="auto"/>
            <w:noWrap/>
            <w:vAlign w:val="center"/>
          </w:tcPr>
          <w:p w14:paraId="3F3F0131">
            <w:pPr>
              <w:widowControl/>
              <w:jc w:val="center"/>
              <w:rPr>
                <w:rFonts w:ascii="宋体" w:hAnsi="宋体" w:cs="宋体"/>
                <w:color w:val="000000"/>
                <w:kern w:val="0"/>
                <w:sz w:val="22"/>
                <w:szCs w:val="22"/>
              </w:rPr>
            </w:pPr>
          </w:p>
        </w:tc>
        <w:tc>
          <w:tcPr>
            <w:tcW w:w="1891" w:type="dxa"/>
            <w:vMerge w:val="restart"/>
            <w:tcBorders>
              <w:top w:val="nil"/>
              <w:left w:val="nil"/>
              <w:right w:val="single" w:color="auto" w:sz="4" w:space="0"/>
            </w:tcBorders>
            <w:vAlign w:val="center"/>
          </w:tcPr>
          <w:p w14:paraId="05D19E2B">
            <w:pPr>
              <w:jc w:val="center"/>
            </w:pPr>
            <w:r>
              <w:rPr>
                <w:rFonts w:ascii="宋体" w:hAnsi="宋体" w:cs="宋体"/>
                <w:color w:val="000000"/>
                <w:kern w:val="0"/>
                <w:sz w:val="22"/>
                <w:szCs w:val="22"/>
              </w:rPr>
              <w:t>同上</w:t>
            </w:r>
          </w:p>
        </w:tc>
      </w:tr>
      <w:tr w14:paraId="41703D8D">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2378F2C9">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51A0D233">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境界内白云岩</w:t>
            </w:r>
          </w:p>
        </w:tc>
        <w:tc>
          <w:tcPr>
            <w:tcW w:w="1843" w:type="dxa"/>
            <w:tcBorders>
              <w:top w:val="nil"/>
              <w:left w:val="nil"/>
              <w:bottom w:val="single" w:color="auto" w:sz="4" w:space="0"/>
              <w:right w:val="single" w:color="auto" w:sz="4" w:space="0"/>
            </w:tcBorders>
            <w:shd w:val="clear" w:color="auto" w:fill="auto"/>
            <w:noWrap/>
            <w:vAlign w:val="center"/>
          </w:tcPr>
          <w:p w14:paraId="41D08710">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73F4E700">
            <w:pPr>
              <w:widowControl/>
              <w:jc w:val="center"/>
              <w:rPr>
                <w:rFonts w:ascii="宋体" w:hAnsi="宋体" w:cs="宋体"/>
                <w:color w:val="000000"/>
                <w:kern w:val="0"/>
                <w:sz w:val="22"/>
                <w:szCs w:val="22"/>
              </w:rPr>
            </w:pPr>
          </w:p>
        </w:tc>
      </w:tr>
      <w:tr w14:paraId="25C350D5">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5B209140">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0B988DE6">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境界内砂岩</w:t>
            </w:r>
          </w:p>
        </w:tc>
        <w:tc>
          <w:tcPr>
            <w:tcW w:w="1843" w:type="dxa"/>
            <w:tcBorders>
              <w:top w:val="nil"/>
              <w:left w:val="nil"/>
              <w:bottom w:val="single" w:color="auto" w:sz="4" w:space="0"/>
              <w:right w:val="single" w:color="auto" w:sz="4" w:space="0"/>
            </w:tcBorders>
            <w:shd w:val="clear" w:color="auto" w:fill="auto"/>
            <w:noWrap/>
            <w:vAlign w:val="center"/>
          </w:tcPr>
          <w:p w14:paraId="7425DA6A">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0477A95D">
            <w:pPr>
              <w:widowControl/>
              <w:jc w:val="center"/>
              <w:rPr>
                <w:rFonts w:ascii="宋体" w:hAnsi="宋体" w:cs="宋体"/>
                <w:color w:val="000000"/>
                <w:kern w:val="0"/>
                <w:sz w:val="22"/>
                <w:szCs w:val="22"/>
              </w:rPr>
            </w:pPr>
          </w:p>
        </w:tc>
      </w:tr>
      <w:tr w14:paraId="025A00EB">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7B99AB76">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4ED596C6">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境界内剥离</w:t>
            </w:r>
          </w:p>
        </w:tc>
        <w:tc>
          <w:tcPr>
            <w:tcW w:w="1843" w:type="dxa"/>
            <w:tcBorders>
              <w:top w:val="nil"/>
              <w:left w:val="nil"/>
              <w:bottom w:val="single" w:color="auto" w:sz="4" w:space="0"/>
              <w:right w:val="single" w:color="auto" w:sz="4" w:space="0"/>
            </w:tcBorders>
            <w:shd w:val="clear" w:color="auto" w:fill="auto"/>
            <w:noWrap/>
            <w:vAlign w:val="center"/>
          </w:tcPr>
          <w:p w14:paraId="49F8C8E8">
            <w:pPr>
              <w:widowControl/>
              <w:jc w:val="center"/>
              <w:rPr>
                <w:rFonts w:ascii="宋体" w:hAnsi="宋体" w:cs="宋体"/>
                <w:color w:val="000000"/>
                <w:kern w:val="0"/>
                <w:sz w:val="22"/>
                <w:szCs w:val="22"/>
              </w:rPr>
            </w:pPr>
          </w:p>
        </w:tc>
        <w:tc>
          <w:tcPr>
            <w:tcW w:w="1891" w:type="dxa"/>
            <w:vMerge w:val="continue"/>
            <w:tcBorders>
              <w:left w:val="nil"/>
              <w:bottom w:val="single" w:color="auto" w:sz="4" w:space="0"/>
              <w:right w:val="single" w:color="auto" w:sz="4" w:space="0"/>
            </w:tcBorders>
            <w:vAlign w:val="center"/>
          </w:tcPr>
          <w:p w14:paraId="38F8066F">
            <w:pPr>
              <w:widowControl/>
              <w:jc w:val="center"/>
              <w:rPr>
                <w:rFonts w:ascii="宋体" w:hAnsi="宋体" w:cs="宋体"/>
                <w:color w:val="000000"/>
                <w:kern w:val="0"/>
                <w:sz w:val="22"/>
                <w:szCs w:val="22"/>
              </w:rPr>
            </w:pPr>
          </w:p>
        </w:tc>
      </w:tr>
      <w:tr w14:paraId="1B35A160">
        <w:tblPrEx>
          <w:tblCellMar>
            <w:top w:w="0" w:type="dxa"/>
            <w:left w:w="108" w:type="dxa"/>
            <w:bottom w:w="0" w:type="dxa"/>
            <w:right w:w="108" w:type="dxa"/>
          </w:tblCellMar>
        </w:tblPrEx>
        <w:trPr>
          <w:trHeight w:val="288" w:hRule="atLeast"/>
          <w:jc w:val="center"/>
        </w:trPr>
        <w:tc>
          <w:tcPr>
            <w:tcW w:w="1691" w:type="dxa"/>
            <w:vMerge w:val="restart"/>
            <w:tcBorders>
              <w:top w:val="nil"/>
              <w:left w:val="single" w:color="auto" w:sz="4" w:space="0"/>
              <w:bottom w:val="single" w:color="auto" w:sz="4" w:space="0"/>
              <w:right w:val="single" w:color="auto" w:sz="4" w:space="0"/>
            </w:tcBorders>
            <w:shd w:val="clear" w:color="auto" w:fill="auto"/>
            <w:noWrap/>
            <w:vAlign w:val="center"/>
          </w:tcPr>
          <w:p w14:paraId="26290CC8">
            <w:pPr>
              <w:widowControl/>
              <w:jc w:val="center"/>
              <w:rPr>
                <w:rFonts w:ascii="宋体" w:hAnsi="宋体" w:cs="宋体"/>
                <w:color w:val="000000"/>
                <w:kern w:val="0"/>
                <w:sz w:val="22"/>
                <w:szCs w:val="22"/>
              </w:rPr>
            </w:pPr>
            <w:r>
              <w:rPr>
                <w:rFonts w:hint="eastAsia" w:ascii="宋体" w:hAnsi="宋体" w:cs="宋体"/>
                <w:color w:val="000000"/>
                <w:kern w:val="0"/>
                <w:sz w:val="22"/>
                <w:szCs w:val="22"/>
              </w:rPr>
              <w:t>240～250</w:t>
            </w:r>
          </w:p>
        </w:tc>
        <w:tc>
          <w:tcPr>
            <w:tcW w:w="1955" w:type="dxa"/>
            <w:tcBorders>
              <w:top w:val="nil"/>
              <w:left w:val="nil"/>
              <w:bottom w:val="single" w:color="auto" w:sz="4" w:space="0"/>
              <w:right w:val="single" w:color="auto" w:sz="4" w:space="0"/>
            </w:tcBorders>
            <w:shd w:val="clear" w:color="auto" w:fill="auto"/>
            <w:noWrap/>
            <w:vAlign w:val="center"/>
          </w:tcPr>
          <w:p w14:paraId="1AB75E51">
            <w:pPr>
              <w:widowControl/>
              <w:jc w:val="center"/>
              <w:rPr>
                <w:rFonts w:ascii="宋体" w:hAnsi="宋体" w:cs="宋体"/>
                <w:color w:val="000000"/>
                <w:kern w:val="0"/>
                <w:sz w:val="22"/>
                <w:szCs w:val="22"/>
              </w:rPr>
            </w:pPr>
            <w:r>
              <w:rPr>
                <w:rFonts w:hint="eastAsia" w:ascii="宋体" w:hAnsi="宋体" w:cs="宋体"/>
                <w:color w:val="000000"/>
                <w:kern w:val="0"/>
                <w:sz w:val="22"/>
                <w:szCs w:val="22"/>
              </w:rPr>
              <w:t>压矿砂岩</w:t>
            </w:r>
          </w:p>
        </w:tc>
        <w:tc>
          <w:tcPr>
            <w:tcW w:w="1843" w:type="dxa"/>
            <w:tcBorders>
              <w:top w:val="nil"/>
              <w:left w:val="nil"/>
              <w:bottom w:val="single" w:color="auto" w:sz="4" w:space="0"/>
              <w:right w:val="single" w:color="auto" w:sz="4" w:space="0"/>
            </w:tcBorders>
            <w:shd w:val="clear" w:color="auto" w:fill="auto"/>
            <w:noWrap/>
            <w:vAlign w:val="center"/>
          </w:tcPr>
          <w:p w14:paraId="2AB551C9">
            <w:pPr>
              <w:widowControl/>
              <w:jc w:val="center"/>
              <w:rPr>
                <w:rFonts w:ascii="宋体" w:hAnsi="宋体" w:cs="宋体"/>
                <w:color w:val="000000"/>
                <w:kern w:val="0"/>
                <w:sz w:val="22"/>
                <w:szCs w:val="22"/>
              </w:rPr>
            </w:pPr>
          </w:p>
        </w:tc>
        <w:tc>
          <w:tcPr>
            <w:tcW w:w="1891" w:type="dxa"/>
            <w:vMerge w:val="restart"/>
            <w:tcBorders>
              <w:top w:val="nil"/>
              <w:left w:val="nil"/>
              <w:right w:val="single" w:color="auto" w:sz="4" w:space="0"/>
            </w:tcBorders>
            <w:vAlign w:val="center"/>
          </w:tcPr>
          <w:p w14:paraId="0003E6B3">
            <w:pPr>
              <w:jc w:val="center"/>
            </w:pPr>
            <w:r>
              <w:rPr>
                <w:rFonts w:ascii="宋体" w:hAnsi="宋体" w:cs="宋体"/>
                <w:color w:val="000000"/>
                <w:kern w:val="0"/>
                <w:sz w:val="22"/>
                <w:szCs w:val="22"/>
              </w:rPr>
              <w:t>同上</w:t>
            </w:r>
          </w:p>
        </w:tc>
      </w:tr>
      <w:tr w14:paraId="1FD10851">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7DD951FF">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1873BF87">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境界内砂岩</w:t>
            </w:r>
          </w:p>
        </w:tc>
        <w:tc>
          <w:tcPr>
            <w:tcW w:w="1843" w:type="dxa"/>
            <w:tcBorders>
              <w:top w:val="nil"/>
              <w:left w:val="nil"/>
              <w:bottom w:val="single" w:color="auto" w:sz="4" w:space="0"/>
              <w:right w:val="single" w:color="auto" w:sz="4" w:space="0"/>
            </w:tcBorders>
            <w:shd w:val="clear" w:color="auto" w:fill="auto"/>
            <w:noWrap/>
            <w:vAlign w:val="center"/>
          </w:tcPr>
          <w:p w14:paraId="030E0D07">
            <w:pPr>
              <w:widowControl/>
              <w:jc w:val="center"/>
              <w:rPr>
                <w:rFonts w:ascii="宋体" w:hAnsi="宋体" w:cs="宋体"/>
                <w:color w:val="000000"/>
                <w:kern w:val="0"/>
                <w:sz w:val="22"/>
                <w:szCs w:val="22"/>
              </w:rPr>
            </w:pPr>
          </w:p>
        </w:tc>
        <w:tc>
          <w:tcPr>
            <w:tcW w:w="1891" w:type="dxa"/>
            <w:vMerge w:val="continue"/>
            <w:tcBorders>
              <w:left w:val="nil"/>
              <w:right w:val="single" w:color="auto" w:sz="4" w:space="0"/>
            </w:tcBorders>
            <w:vAlign w:val="center"/>
          </w:tcPr>
          <w:p w14:paraId="482B103F">
            <w:pPr>
              <w:widowControl/>
              <w:jc w:val="center"/>
              <w:rPr>
                <w:rFonts w:ascii="宋体" w:hAnsi="宋体" w:cs="宋体"/>
                <w:color w:val="000000"/>
                <w:kern w:val="0"/>
                <w:sz w:val="22"/>
                <w:szCs w:val="22"/>
              </w:rPr>
            </w:pPr>
          </w:p>
        </w:tc>
      </w:tr>
      <w:tr w14:paraId="32A75C81">
        <w:tblPrEx>
          <w:tblCellMar>
            <w:top w:w="0" w:type="dxa"/>
            <w:left w:w="108" w:type="dxa"/>
            <w:bottom w:w="0" w:type="dxa"/>
            <w:right w:w="108" w:type="dxa"/>
          </w:tblCellMar>
        </w:tblPrEx>
        <w:trPr>
          <w:trHeight w:val="288" w:hRule="atLeast"/>
          <w:jc w:val="center"/>
        </w:trPr>
        <w:tc>
          <w:tcPr>
            <w:tcW w:w="1691" w:type="dxa"/>
            <w:vMerge w:val="continue"/>
            <w:tcBorders>
              <w:top w:val="nil"/>
              <w:left w:val="single" w:color="auto" w:sz="4" w:space="0"/>
              <w:bottom w:val="single" w:color="auto" w:sz="4" w:space="0"/>
              <w:right w:val="single" w:color="auto" w:sz="4" w:space="0"/>
            </w:tcBorders>
            <w:vAlign w:val="center"/>
          </w:tcPr>
          <w:p w14:paraId="3A629EB8">
            <w:pPr>
              <w:widowControl/>
              <w:jc w:val="center"/>
              <w:rPr>
                <w:rFonts w:ascii="宋体" w:hAnsi="宋体" w:cs="宋体"/>
                <w:color w:val="000000"/>
                <w:kern w:val="0"/>
                <w:sz w:val="22"/>
                <w:szCs w:val="22"/>
              </w:rPr>
            </w:pPr>
          </w:p>
        </w:tc>
        <w:tc>
          <w:tcPr>
            <w:tcW w:w="1955" w:type="dxa"/>
            <w:tcBorders>
              <w:top w:val="nil"/>
              <w:left w:val="nil"/>
              <w:bottom w:val="single" w:color="auto" w:sz="4" w:space="0"/>
              <w:right w:val="single" w:color="auto" w:sz="4" w:space="0"/>
            </w:tcBorders>
            <w:shd w:val="clear" w:color="auto" w:fill="auto"/>
            <w:noWrap/>
            <w:vAlign w:val="center"/>
          </w:tcPr>
          <w:p w14:paraId="1BB555BB">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境界内剥离</w:t>
            </w:r>
          </w:p>
        </w:tc>
        <w:tc>
          <w:tcPr>
            <w:tcW w:w="1843" w:type="dxa"/>
            <w:tcBorders>
              <w:top w:val="nil"/>
              <w:left w:val="nil"/>
              <w:bottom w:val="single" w:color="auto" w:sz="4" w:space="0"/>
              <w:right w:val="single" w:color="auto" w:sz="4" w:space="0"/>
            </w:tcBorders>
            <w:shd w:val="clear" w:color="auto" w:fill="auto"/>
            <w:noWrap/>
            <w:vAlign w:val="center"/>
          </w:tcPr>
          <w:p w14:paraId="4B9F3526">
            <w:pPr>
              <w:widowControl/>
              <w:jc w:val="center"/>
              <w:rPr>
                <w:rFonts w:ascii="宋体" w:hAnsi="宋体" w:cs="宋体"/>
                <w:color w:val="000000"/>
                <w:kern w:val="0"/>
                <w:sz w:val="22"/>
                <w:szCs w:val="22"/>
              </w:rPr>
            </w:pPr>
          </w:p>
        </w:tc>
        <w:tc>
          <w:tcPr>
            <w:tcW w:w="1891" w:type="dxa"/>
            <w:vMerge w:val="continue"/>
            <w:tcBorders>
              <w:left w:val="nil"/>
              <w:bottom w:val="single" w:color="auto" w:sz="4" w:space="0"/>
              <w:right w:val="single" w:color="auto" w:sz="4" w:space="0"/>
            </w:tcBorders>
            <w:vAlign w:val="center"/>
          </w:tcPr>
          <w:p w14:paraId="08B5BE56">
            <w:pPr>
              <w:widowControl/>
              <w:jc w:val="center"/>
              <w:rPr>
                <w:rFonts w:ascii="宋体" w:hAnsi="宋体" w:cs="宋体"/>
                <w:color w:val="000000"/>
                <w:kern w:val="0"/>
                <w:sz w:val="22"/>
                <w:szCs w:val="22"/>
              </w:rPr>
            </w:pPr>
          </w:p>
        </w:tc>
      </w:tr>
      <w:tr w14:paraId="073F8D4A">
        <w:tblPrEx>
          <w:tblCellMar>
            <w:top w:w="0" w:type="dxa"/>
            <w:left w:w="108" w:type="dxa"/>
            <w:bottom w:w="0" w:type="dxa"/>
            <w:right w:w="108" w:type="dxa"/>
          </w:tblCellMar>
        </w:tblPrEx>
        <w:trPr>
          <w:trHeight w:val="288" w:hRule="atLeast"/>
          <w:jc w:val="center"/>
        </w:trPr>
        <w:tc>
          <w:tcPr>
            <w:tcW w:w="1691" w:type="dxa"/>
            <w:tcBorders>
              <w:top w:val="single" w:color="auto" w:sz="4" w:space="0"/>
              <w:left w:val="single" w:color="auto" w:sz="4" w:space="0"/>
              <w:bottom w:val="single" w:color="auto" w:sz="4" w:space="0"/>
              <w:right w:val="single" w:color="auto" w:sz="4" w:space="0"/>
            </w:tcBorders>
            <w:vAlign w:val="center"/>
          </w:tcPr>
          <w:p w14:paraId="1C7D4886">
            <w:pPr>
              <w:jc w:val="center"/>
              <w:rPr>
                <w:rFonts w:ascii="宋体" w:hAnsi="宋体" w:cs="宋体"/>
                <w:color w:val="000000"/>
                <w:kern w:val="0"/>
                <w:sz w:val="22"/>
                <w:szCs w:val="22"/>
              </w:rPr>
            </w:pPr>
            <w:r>
              <w:rPr>
                <w:rFonts w:hint="eastAsia" w:ascii="宋体" w:hAnsi="宋体" w:cs="宋体"/>
                <w:color w:val="000000"/>
                <w:kern w:val="0"/>
                <w:sz w:val="22"/>
                <w:szCs w:val="22"/>
              </w:rPr>
              <w:t>250～260</w:t>
            </w:r>
          </w:p>
        </w:tc>
        <w:tc>
          <w:tcPr>
            <w:tcW w:w="1955" w:type="dxa"/>
            <w:tcBorders>
              <w:top w:val="nil"/>
              <w:left w:val="nil"/>
              <w:bottom w:val="single" w:color="auto" w:sz="4" w:space="0"/>
              <w:right w:val="single" w:color="auto" w:sz="4" w:space="0"/>
            </w:tcBorders>
            <w:shd w:val="clear" w:color="auto" w:fill="auto"/>
            <w:noWrap/>
            <w:vAlign w:val="center"/>
          </w:tcPr>
          <w:p w14:paraId="2616AFF2">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境界内剥离</w:t>
            </w:r>
          </w:p>
        </w:tc>
        <w:tc>
          <w:tcPr>
            <w:tcW w:w="1843" w:type="dxa"/>
            <w:tcBorders>
              <w:top w:val="nil"/>
              <w:left w:val="nil"/>
              <w:bottom w:val="single" w:color="auto" w:sz="4" w:space="0"/>
              <w:right w:val="single" w:color="auto" w:sz="4" w:space="0"/>
            </w:tcBorders>
            <w:shd w:val="clear" w:color="auto" w:fill="auto"/>
            <w:noWrap/>
            <w:vAlign w:val="center"/>
          </w:tcPr>
          <w:p w14:paraId="24264E8F">
            <w:pPr>
              <w:widowControl/>
              <w:jc w:val="center"/>
              <w:rPr>
                <w:rFonts w:ascii="宋体" w:hAnsi="宋体" w:cs="宋体"/>
                <w:color w:val="000000"/>
                <w:kern w:val="0"/>
                <w:sz w:val="22"/>
                <w:szCs w:val="22"/>
              </w:rPr>
            </w:pPr>
          </w:p>
        </w:tc>
        <w:tc>
          <w:tcPr>
            <w:tcW w:w="1891" w:type="dxa"/>
            <w:tcBorders>
              <w:top w:val="nil"/>
              <w:left w:val="nil"/>
              <w:bottom w:val="single" w:color="auto" w:sz="4" w:space="0"/>
              <w:right w:val="single" w:color="auto" w:sz="4" w:space="0"/>
            </w:tcBorders>
            <w:vAlign w:val="center"/>
          </w:tcPr>
          <w:p w14:paraId="308E8AB6">
            <w:pPr>
              <w:widowControl/>
              <w:jc w:val="center"/>
              <w:rPr>
                <w:rFonts w:ascii="宋体" w:hAnsi="宋体" w:cs="宋体"/>
                <w:color w:val="000000"/>
                <w:kern w:val="0"/>
                <w:sz w:val="22"/>
                <w:szCs w:val="22"/>
              </w:rPr>
            </w:pPr>
          </w:p>
        </w:tc>
      </w:tr>
      <w:tr w14:paraId="1647777D">
        <w:tblPrEx>
          <w:tblCellMar>
            <w:top w:w="0" w:type="dxa"/>
            <w:left w:w="108" w:type="dxa"/>
            <w:bottom w:w="0" w:type="dxa"/>
            <w:right w:w="108" w:type="dxa"/>
          </w:tblCellMar>
        </w:tblPrEx>
        <w:trPr>
          <w:trHeight w:val="288" w:hRule="atLeast"/>
          <w:jc w:val="center"/>
        </w:trPr>
        <w:tc>
          <w:tcPr>
            <w:tcW w:w="1691" w:type="dxa"/>
            <w:tcBorders>
              <w:top w:val="nil"/>
              <w:left w:val="single" w:color="auto" w:sz="4" w:space="0"/>
              <w:bottom w:val="single" w:color="auto" w:sz="4" w:space="0"/>
              <w:right w:val="single" w:color="auto" w:sz="4" w:space="0"/>
            </w:tcBorders>
            <w:shd w:val="clear" w:color="auto" w:fill="auto"/>
            <w:noWrap/>
            <w:vAlign w:val="center"/>
          </w:tcPr>
          <w:p w14:paraId="481B15CC">
            <w:pPr>
              <w:widowControl/>
              <w:jc w:val="center"/>
              <w:rPr>
                <w:rFonts w:ascii="宋体" w:hAnsi="宋体" w:cs="宋体"/>
                <w:color w:val="000000"/>
                <w:kern w:val="0"/>
                <w:sz w:val="22"/>
                <w:szCs w:val="22"/>
              </w:rPr>
            </w:pPr>
            <w:r>
              <w:rPr>
                <w:rFonts w:hint="eastAsia" w:ascii="宋体" w:hAnsi="宋体" w:cs="宋体"/>
                <w:color w:val="000000"/>
                <w:kern w:val="0"/>
                <w:sz w:val="22"/>
                <w:szCs w:val="22"/>
              </w:rPr>
              <w:t>260-270</w:t>
            </w:r>
          </w:p>
        </w:tc>
        <w:tc>
          <w:tcPr>
            <w:tcW w:w="1955" w:type="dxa"/>
            <w:tcBorders>
              <w:top w:val="nil"/>
              <w:left w:val="nil"/>
              <w:bottom w:val="single" w:color="auto" w:sz="4" w:space="0"/>
              <w:right w:val="single" w:color="auto" w:sz="4" w:space="0"/>
            </w:tcBorders>
            <w:shd w:val="clear" w:color="auto" w:fill="auto"/>
            <w:noWrap/>
            <w:vAlign w:val="center"/>
          </w:tcPr>
          <w:p w14:paraId="161FBAA8">
            <w:pPr>
              <w:widowControl/>
              <w:jc w:val="center"/>
              <w:rPr>
                <w:rFonts w:ascii="宋体" w:hAnsi="宋体" w:cs="宋体"/>
                <w:color w:val="000000"/>
                <w:kern w:val="0"/>
                <w:sz w:val="22"/>
                <w:szCs w:val="22"/>
              </w:rPr>
            </w:pPr>
            <w:r>
              <w:rPr>
                <w:rFonts w:hint="eastAsia" w:ascii="宋体" w:hAnsi="宋体" w:cs="宋体"/>
                <w:color w:val="000000"/>
                <w:kern w:val="0"/>
                <w:sz w:val="22"/>
                <w:szCs w:val="22"/>
              </w:rPr>
              <w:t>境界内剥离</w:t>
            </w:r>
          </w:p>
        </w:tc>
        <w:tc>
          <w:tcPr>
            <w:tcW w:w="1843" w:type="dxa"/>
            <w:tcBorders>
              <w:top w:val="nil"/>
              <w:left w:val="nil"/>
              <w:bottom w:val="single" w:color="auto" w:sz="4" w:space="0"/>
              <w:right w:val="single" w:color="auto" w:sz="4" w:space="0"/>
            </w:tcBorders>
            <w:shd w:val="clear" w:color="auto" w:fill="auto"/>
            <w:noWrap/>
            <w:vAlign w:val="center"/>
          </w:tcPr>
          <w:p w14:paraId="5E26D2CC">
            <w:pPr>
              <w:widowControl/>
              <w:jc w:val="center"/>
              <w:rPr>
                <w:rFonts w:ascii="宋体" w:hAnsi="宋体" w:cs="宋体"/>
                <w:color w:val="000000"/>
                <w:kern w:val="0"/>
                <w:sz w:val="22"/>
                <w:szCs w:val="22"/>
              </w:rPr>
            </w:pPr>
          </w:p>
        </w:tc>
        <w:tc>
          <w:tcPr>
            <w:tcW w:w="1891" w:type="dxa"/>
            <w:tcBorders>
              <w:top w:val="nil"/>
              <w:left w:val="nil"/>
              <w:bottom w:val="single" w:color="auto" w:sz="4" w:space="0"/>
              <w:right w:val="single" w:color="auto" w:sz="4" w:space="0"/>
            </w:tcBorders>
            <w:vAlign w:val="center"/>
          </w:tcPr>
          <w:p w14:paraId="772AB0FA">
            <w:pPr>
              <w:widowControl/>
              <w:jc w:val="center"/>
              <w:rPr>
                <w:rFonts w:ascii="宋体" w:hAnsi="宋体" w:cs="宋体"/>
                <w:color w:val="000000"/>
                <w:kern w:val="0"/>
                <w:sz w:val="22"/>
                <w:szCs w:val="22"/>
              </w:rPr>
            </w:pPr>
          </w:p>
        </w:tc>
      </w:tr>
      <w:tr w14:paraId="4518A3D7">
        <w:tblPrEx>
          <w:tblCellMar>
            <w:top w:w="0" w:type="dxa"/>
            <w:left w:w="108" w:type="dxa"/>
            <w:bottom w:w="0" w:type="dxa"/>
            <w:right w:w="108" w:type="dxa"/>
          </w:tblCellMar>
        </w:tblPrEx>
        <w:trPr>
          <w:trHeight w:val="288" w:hRule="atLeast"/>
          <w:jc w:val="center"/>
        </w:trPr>
        <w:tc>
          <w:tcPr>
            <w:tcW w:w="1691" w:type="dxa"/>
            <w:tcBorders>
              <w:top w:val="nil"/>
              <w:left w:val="single" w:color="auto" w:sz="4" w:space="0"/>
              <w:bottom w:val="single" w:color="auto" w:sz="4" w:space="0"/>
              <w:right w:val="single" w:color="auto" w:sz="4" w:space="0"/>
            </w:tcBorders>
            <w:shd w:val="clear" w:color="auto" w:fill="auto"/>
            <w:noWrap/>
            <w:vAlign w:val="center"/>
          </w:tcPr>
          <w:p w14:paraId="38FBDD74">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境界内剥离</w:t>
            </w:r>
          </w:p>
        </w:tc>
        <w:tc>
          <w:tcPr>
            <w:tcW w:w="1955" w:type="dxa"/>
            <w:tcBorders>
              <w:top w:val="nil"/>
              <w:left w:val="nil"/>
              <w:bottom w:val="single" w:color="auto" w:sz="4" w:space="0"/>
              <w:right w:val="single" w:color="auto" w:sz="4" w:space="0"/>
            </w:tcBorders>
            <w:shd w:val="clear" w:color="auto" w:fill="auto"/>
            <w:noWrap/>
            <w:vAlign w:val="center"/>
          </w:tcPr>
          <w:p w14:paraId="025EE613">
            <w:pPr>
              <w:widowControl/>
              <w:jc w:val="center"/>
              <w:rPr>
                <w:rFonts w:ascii="宋体" w:hAnsi="宋体" w:cs="宋体"/>
                <w:b/>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14:paraId="12DC6978">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境界平均剥采比</w:t>
            </w:r>
          </w:p>
        </w:tc>
        <w:tc>
          <w:tcPr>
            <w:tcW w:w="1891" w:type="dxa"/>
            <w:tcBorders>
              <w:top w:val="nil"/>
              <w:left w:val="nil"/>
              <w:bottom w:val="single" w:color="auto" w:sz="4" w:space="0"/>
              <w:right w:val="single" w:color="auto" w:sz="4" w:space="0"/>
            </w:tcBorders>
            <w:vAlign w:val="center"/>
          </w:tcPr>
          <w:p w14:paraId="5B6595E5">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0.35</w:t>
            </w:r>
          </w:p>
        </w:tc>
      </w:tr>
      <w:tr w14:paraId="278EEE4B">
        <w:tblPrEx>
          <w:tblCellMar>
            <w:top w:w="0" w:type="dxa"/>
            <w:left w:w="108" w:type="dxa"/>
            <w:bottom w:w="0" w:type="dxa"/>
            <w:right w:w="108" w:type="dxa"/>
          </w:tblCellMar>
        </w:tblPrEx>
        <w:trPr>
          <w:trHeight w:val="288" w:hRule="atLeast"/>
          <w:jc w:val="center"/>
        </w:trPr>
        <w:tc>
          <w:tcPr>
            <w:tcW w:w="1691" w:type="dxa"/>
            <w:tcBorders>
              <w:top w:val="nil"/>
              <w:left w:val="single" w:color="auto" w:sz="4" w:space="0"/>
              <w:bottom w:val="single" w:color="auto" w:sz="4" w:space="0"/>
              <w:right w:val="single" w:color="auto" w:sz="4" w:space="0"/>
            </w:tcBorders>
            <w:shd w:val="clear" w:color="auto" w:fill="auto"/>
            <w:noWrap/>
            <w:vAlign w:val="center"/>
          </w:tcPr>
          <w:p w14:paraId="5C98C7B5">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境界内白云岩</w:t>
            </w:r>
          </w:p>
        </w:tc>
        <w:tc>
          <w:tcPr>
            <w:tcW w:w="1955" w:type="dxa"/>
            <w:tcBorders>
              <w:top w:val="nil"/>
              <w:left w:val="nil"/>
              <w:bottom w:val="single" w:color="auto" w:sz="4" w:space="0"/>
              <w:right w:val="single" w:color="auto" w:sz="4" w:space="0"/>
            </w:tcBorders>
            <w:shd w:val="clear" w:color="auto" w:fill="auto"/>
            <w:noWrap/>
            <w:vAlign w:val="center"/>
          </w:tcPr>
          <w:p w14:paraId="5C9CB89D">
            <w:pPr>
              <w:widowControl/>
              <w:jc w:val="center"/>
              <w:rPr>
                <w:rFonts w:ascii="宋体" w:hAnsi="宋体" w:cs="宋体"/>
                <w:b/>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14:paraId="33F24DFC">
            <w:pPr>
              <w:jc w:val="center"/>
              <w:rPr>
                <w:rFonts w:ascii="宋体" w:hAnsi="宋体" w:cs="宋体"/>
                <w:b/>
                <w:color w:val="000000"/>
                <w:kern w:val="0"/>
                <w:sz w:val="22"/>
                <w:szCs w:val="22"/>
              </w:rPr>
            </w:pPr>
            <w:r>
              <w:rPr>
                <w:rFonts w:hint="eastAsia" w:ascii="宋体" w:hAnsi="宋体" w:cs="宋体"/>
                <w:b/>
                <w:color w:val="000000"/>
                <w:kern w:val="0"/>
                <w:sz w:val="22"/>
                <w:szCs w:val="22"/>
              </w:rPr>
              <w:t>境界内砂岩</w:t>
            </w:r>
          </w:p>
        </w:tc>
        <w:tc>
          <w:tcPr>
            <w:tcW w:w="1891" w:type="dxa"/>
            <w:tcBorders>
              <w:top w:val="nil"/>
              <w:left w:val="nil"/>
              <w:bottom w:val="single" w:color="auto" w:sz="4" w:space="0"/>
              <w:right w:val="single" w:color="auto" w:sz="4" w:space="0"/>
            </w:tcBorders>
            <w:vAlign w:val="center"/>
          </w:tcPr>
          <w:p w14:paraId="61FEC24C">
            <w:pPr>
              <w:widowControl/>
              <w:jc w:val="center"/>
              <w:rPr>
                <w:rFonts w:ascii="宋体" w:hAnsi="宋体" w:cs="宋体"/>
                <w:b/>
                <w:color w:val="000000"/>
                <w:kern w:val="0"/>
                <w:sz w:val="22"/>
                <w:szCs w:val="22"/>
              </w:rPr>
            </w:pPr>
          </w:p>
        </w:tc>
      </w:tr>
      <w:tr w14:paraId="3C96C6F5">
        <w:tblPrEx>
          <w:tblCellMar>
            <w:top w:w="0" w:type="dxa"/>
            <w:left w:w="108" w:type="dxa"/>
            <w:bottom w:w="0" w:type="dxa"/>
            <w:right w:w="108" w:type="dxa"/>
          </w:tblCellMar>
        </w:tblPrEx>
        <w:trPr>
          <w:trHeight w:val="288" w:hRule="atLeast"/>
          <w:jc w:val="center"/>
        </w:trPr>
        <w:tc>
          <w:tcPr>
            <w:tcW w:w="1691" w:type="dxa"/>
            <w:tcBorders>
              <w:top w:val="nil"/>
              <w:left w:val="single" w:color="auto" w:sz="4" w:space="0"/>
              <w:bottom w:val="single" w:color="auto" w:sz="4" w:space="0"/>
              <w:right w:val="single" w:color="auto" w:sz="4" w:space="0"/>
            </w:tcBorders>
            <w:shd w:val="clear" w:color="auto" w:fill="auto"/>
            <w:noWrap/>
            <w:vAlign w:val="center"/>
          </w:tcPr>
          <w:p w14:paraId="4B5E494D">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压矿白云岩</w:t>
            </w:r>
          </w:p>
        </w:tc>
        <w:tc>
          <w:tcPr>
            <w:tcW w:w="1955" w:type="dxa"/>
            <w:tcBorders>
              <w:top w:val="nil"/>
              <w:left w:val="nil"/>
              <w:bottom w:val="single" w:color="auto" w:sz="4" w:space="0"/>
              <w:right w:val="single" w:color="auto" w:sz="4" w:space="0"/>
            </w:tcBorders>
            <w:shd w:val="clear" w:color="auto" w:fill="auto"/>
            <w:noWrap/>
            <w:vAlign w:val="center"/>
          </w:tcPr>
          <w:p w14:paraId="75910CEC">
            <w:pPr>
              <w:widowControl/>
              <w:jc w:val="center"/>
              <w:rPr>
                <w:rFonts w:ascii="宋体" w:hAnsi="宋体" w:cs="宋体"/>
                <w:b/>
                <w:color w:val="000000"/>
                <w:kern w:val="0"/>
                <w:sz w:val="22"/>
                <w:szCs w:val="22"/>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14:paraId="5C4FF69F">
            <w:pPr>
              <w:jc w:val="center"/>
              <w:rPr>
                <w:rFonts w:ascii="宋体" w:hAnsi="宋体" w:cs="宋体"/>
                <w:b/>
                <w:color w:val="000000"/>
                <w:kern w:val="0"/>
                <w:sz w:val="22"/>
                <w:szCs w:val="22"/>
              </w:rPr>
            </w:pPr>
            <w:r>
              <w:rPr>
                <w:rFonts w:hint="eastAsia" w:ascii="宋体" w:hAnsi="宋体" w:cs="宋体"/>
                <w:b/>
                <w:color w:val="000000"/>
                <w:kern w:val="0"/>
                <w:sz w:val="22"/>
                <w:szCs w:val="22"/>
              </w:rPr>
              <w:t>压矿砂岩</w:t>
            </w:r>
          </w:p>
        </w:tc>
        <w:tc>
          <w:tcPr>
            <w:tcW w:w="1891" w:type="dxa"/>
            <w:tcBorders>
              <w:top w:val="single" w:color="auto" w:sz="4" w:space="0"/>
              <w:left w:val="nil"/>
              <w:bottom w:val="single" w:color="auto" w:sz="4" w:space="0"/>
              <w:right w:val="single" w:color="auto" w:sz="4" w:space="0"/>
            </w:tcBorders>
            <w:vAlign w:val="center"/>
          </w:tcPr>
          <w:p w14:paraId="277C5A9F">
            <w:pPr>
              <w:jc w:val="center"/>
              <w:rPr>
                <w:rFonts w:ascii="宋体" w:hAnsi="宋体" w:cs="宋体"/>
                <w:b/>
                <w:color w:val="000000"/>
                <w:kern w:val="0"/>
                <w:sz w:val="22"/>
                <w:szCs w:val="22"/>
              </w:rPr>
            </w:pPr>
          </w:p>
        </w:tc>
      </w:tr>
    </w:tbl>
    <w:p w14:paraId="0DC563B8">
      <w:pPr>
        <w:jc w:val="center"/>
        <w:rPr>
          <w:b/>
          <w:bCs/>
          <w:szCs w:val="21"/>
        </w:rPr>
      </w:pPr>
    </w:p>
    <w:bookmarkEnd w:id="198"/>
    <w:p w14:paraId="2B2FBAC2">
      <w:pPr>
        <w:pStyle w:val="5"/>
        <w:spacing w:line="360" w:lineRule="auto"/>
        <w:ind w:firstLine="542" w:firstLineChars="200"/>
        <w:rPr>
          <w:rFonts w:ascii="宋体" w:hAnsi="宋体" w:cs="宋体"/>
          <w:spacing w:val="-5"/>
          <w:sz w:val="28"/>
          <w:szCs w:val="28"/>
        </w:rPr>
      </w:pPr>
      <w:r>
        <w:rPr>
          <w:rFonts w:hint="eastAsia" w:ascii="宋体" w:hAnsi="宋体" w:cs="宋体"/>
          <w:spacing w:val="-5"/>
          <w:sz w:val="28"/>
          <w:szCs w:val="28"/>
        </w:rPr>
        <w:t>5、开采回采率</w:t>
      </w:r>
    </w:p>
    <w:p w14:paraId="6371C005">
      <w:pPr>
        <w:spacing w:line="360" w:lineRule="auto"/>
        <w:ind w:firstLine="420"/>
        <w:rPr>
          <w:rFonts w:ascii="宋体" w:hAnsi="宋体" w:cs="宋体"/>
          <w:spacing w:val="-2"/>
          <w:sz w:val="28"/>
          <w:szCs w:val="28"/>
        </w:rPr>
      </w:pPr>
      <w:r>
        <w:rPr>
          <w:rFonts w:ascii="宋体" w:hAnsi="宋体" w:cs="宋体"/>
          <w:spacing w:val="-2"/>
          <w:sz w:val="28"/>
          <w:szCs w:val="28"/>
        </w:rPr>
        <w:t>（1）设计利用资源量</w:t>
      </w:r>
    </w:p>
    <w:p w14:paraId="68155FBC">
      <w:pPr>
        <w:spacing w:line="360" w:lineRule="auto"/>
        <w:ind w:firstLine="420"/>
        <w:rPr>
          <w:rFonts w:ascii="宋体" w:hAnsi="宋体" w:cs="宋体"/>
          <w:sz w:val="28"/>
          <w:szCs w:val="28"/>
        </w:rPr>
      </w:pPr>
      <w:r>
        <w:rPr>
          <w:rFonts w:ascii="宋体" w:hAnsi="宋体" w:cs="宋体"/>
          <w:sz w:val="28"/>
          <w:szCs w:val="28"/>
        </w:rPr>
        <w:t>本次设计露天台阶压占矿量为</w:t>
      </w:r>
      <w:r>
        <w:rPr>
          <w:rFonts w:hint="eastAsia" w:ascii="宋体" w:hAnsi="宋体" w:cs="宋体"/>
          <w:sz w:val="28"/>
          <w:szCs w:val="28"/>
        </w:rPr>
        <w:t>*****</w:t>
      </w:r>
      <w:r>
        <w:rPr>
          <w:rFonts w:ascii="宋体" w:hAnsi="宋体" w:cs="宋体"/>
          <w:sz w:val="28"/>
          <w:szCs w:val="28"/>
        </w:rPr>
        <w:t>万</w:t>
      </w:r>
      <w:r>
        <w:rPr>
          <w:rFonts w:hint="eastAsia" w:ascii="宋体" w:hAnsi="宋体" w:cs="宋体"/>
          <w:sz w:val="28"/>
          <w:szCs w:val="28"/>
        </w:rPr>
        <w:t>m</w:t>
      </w:r>
      <w:r>
        <w:rPr>
          <w:rFonts w:hint="eastAsia" w:ascii="宋体" w:hAnsi="宋体" w:cs="宋体"/>
          <w:sz w:val="28"/>
          <w:szCs w:val="28"/>
          <w:vertAlign w:val="superscript"/>
        </w:rPr>
        <w:t>3</w:t>
      </w:r>
      <w:r>
        <w:rPr>
          <w:rFonts w:ascii="宋体" w:hAnsi="宋体" w:cs="宋体"/>
          <w:sz w:val="28"/>
          <w:szCs w:val="28"/>
        </w:rPr>
        <w:t>，设计利用资源储量</w:t>
      </w:r>
      <w:r>
        <w:rPr>
          <w:rFonts w:hint="eastAsia" w:ascii="宋体" w:cs="宋体"/>
          <w:kern w:val="0"/>
          <w:sz w:val="28"/>
          <w:szCs w:val="28"/>
        </w:rPr>
        <w:t>*****</w:t>
      </w:r>
      <w:r>
        <w:rPr>
          <w:rFonts w:ascii="宋体" w:hAnsi="宋体" w:cs="宋体"/>
          <w:sz w:val="28"/>
          <w:szCs w:val="28"/>
        </w:rPr>
        <w:t>万</w:t>
      </w:r>
      <w:r>
        <w:rPr>
          <w:rFonts w:hint="eastAsia" w:ascii="宋体" w:hAnsi="宋体" w:cs="宋体"/>
          <w:sz w:val="28"/>
          <w:szCs w:val="28"/>
        </w:rPr>
        <w:t>m</w:t>
      </w:r>
      <w:r>
        <w:rPr>
          <w:rFonts w:hint="eastAsia" w:ascii="宋体" w:hAnsi="宋体" w:cs="宋体"/>
          <w:sz w:val="28"/>
          <w:szCs w:val="28"/>
          <w:vertAlign w:val="superscript"/>
        </w:rPr>
        <w:t>3</w:t>
      </w:r>
      <w:r>
        <w:rPr>
          <w:rFonts w:ascii="宋体" w:hAnsi="宋体" w:cs="宋体"/>
          <w:sz w:val="28"/>
          <w:szCs w:val="28"/>
        </w:rPr>
        <w:t>，占矿区保有储量的</w:t>
      </w:r>
      <w:r>
        <w:rPr>
          <w:rFonts w:hint="eastAsia" w:ascii="宋体" w:hAnsi="宋体" w:cs="宋体"/>
          <w:sz w:val="28"/>
          <w:szCs w:val="28"/>
        </w:rPr>
        <w:t>83</w:t>
      </w:r>
      <w:r>
        <w:rPr>
          <w:rFonts w:ascii="宋体" w:hAnsi="宋体" w:cs="宋体"/>
          <w:sz w:val="28"/>
          <w:szCs w:val="28"/>
        </w:rPr>
        <w:t>%。</w:t>
      </w:r>
    </w:p>
    <w:p w14:paraId="28F762ED">
      <w:pPr>
        <w:spacing w:line="360" w:lineRule="auto"/>
        <w:ind w:firstLine="420"/>
        <w:rPr>
          <w:rFonts w:ascii="宋体" w:hAnsi="宋体" w:cs="宋体"/>
          <w:sz w:val="28"/>
          <w:szCs w:val="28"/>
        </w:rPr>
      </w:pPr>
      <w:r>
        <w:rPr>
          <w:rFonts w:ascii="宋体" w:hAnsi="宋体" w:cs="宋体"/>
          <w:sz w:val="28"/>
          <w:szCs w:val="28"/>
        </w:rPr>
        <w:t>（2）设计可采储量</w:t>
      </w:r>
    </w:p>
    <w:p w14:paraId="20F684CA">
      <w:pPr>
        <w:spacing w:line="360" w:lineRule="auto"/>
        <w:ind w:firstLine="420"/>
        <w:rPr>
          <w:rFonts w:ascii="宋体" w:hAnsi="宋体" w:cs="宋体"/>
          <w:sz w:val="28"/>
          <w:szCs w:val="28"/>
        </w:rPr>
      </w:pPr>
      <w:r>
        <w:rPr>
          <w:rFonts w:ascii="宋体" w:hAnsi="宋体" w:cs="宋体"/>
          <w:sz w:val="28"/>
          <w:szCs w:val="28"/>
        </w:rPr>
        <w:t>根据《矿产资源“三率”指标要求第</w:t>
      </w:r>
      <w:r>
        <w:rPr>
          <w:rFonts w:hint="eastAsia" w:ascii="宋体" w:hAnsi="宋体" w:cs="宋体"/>
          <w:sz w:val="28"/>
          <w:szCs w:val="28"/>
        </w:rPr>
        <w:t>14</w:t>
      </w:r>
      <w:r>
        <w:rPr>
          <w:rFonts w:ascii="宋体" w:hAnsi="宋体" w:cs="宋体"/>
          <w:sz w:val="28"/>
          <w:szCs w:val="28"/>
        </w:rPr>
        <w:t>部分：《</w:t>
      </w:r>
      <w:r>
        <w:rPr>
          <w:rFonts w:hint="eastAsia" w:ascii="宋体" w:hAnsi="宋体" w:cs="宋体"/>
          <w:sz w:val="28"/>
          <w:szCs w:val="28"/>
        </w:rPr>
        <w:t>饰面石材和建筑用石料矿产</w:t>
      </w:r>
      <w:r>
        <w:rPr>
          <w:rFonts w:ascii="宋体" w:hAnsi="宋体" w:cs="宋体"/>
          <w:sz w:val="28"/>
          <w:szCs w:val="28"/>
        </w:rPr>
        <w:t>》(DZ/T0462.6-2023)，露天开采矿山开采回采率</w:t>
      </w:r>
      <w:r>
        <w:rPr>
          <w:rFonts w:hint="eastAsia" w:ascii="宋体" w:hAnsi="宋体" w:cs="宋体"/>
          <w:sz w:val="28"/>
          <w:szCs w:val="28"/>
        </w:rPr>
        <w:t>率领跑者指标不低于99%，</w:t>
      </w:r>
      <w:r>
        <w:rPr>
          <w:rFonts w:ascii="宋体" w:hAnsi="宋体" w:cs="宋体"/>
          <w:sz w:val="28"/>
          <w:szCs w:val="28"/>
        </w:rPr>
        <w:t>一般指标不低于95%，最低指标不低于</w:t>
      </w:r>
      <w:r>
        <w:rPr>
          <w:rFonts w:hint="eastAsia" w:ascii="宋体" w:hAnsi="宋体" w:cs="宋体"/>
          <w:sz w:val="28"/>
          <w:szCs w:val="28"/>
        </w:rPr>
        <w:t>90%。</w:t>
      </w:r>
    </w:p>
    <w:p w14:paraId="557A2424">
      <w:pPr>
        <w:spacing w:line="360" w:lineRule="auto"/>
        <w:ind w:firstLine="420"/>
        <w:rPr>
          <w:rFonts w:ascii="宋体" w:hAnsi="宋体" w:cs="宋体"/>
          <w:sz w:val="28"/>
          <w:szCs w:val="28"/>
        </w:rPr>
      </w:pPr>
      <w:r>
        <w:rPr>
          <w:rFonts w:hint="eastAsia" w:ascii="宋体" w:hAnsi="宋体" w:cs="宋体"/>
          <w:sz w:val="28"/>
          <w:szCs w:val="28"/>
        </w:rPr>
        <w:t>综合考虑矿区矿体赋存较浅、矿石质量满足建筑用碎石工业指标要求，开采技术条件简单等因素，露天开采条件简单，剥离的岩石直接破碎加工成不同粒径即可售卖，无需再次选矿，矿区矿体除上部覆盖层及边坡台阶压矿外均可全部利用，设计露天矿山回采率为100%，损失量忽略不计。矿山企业在未来的生产过程中，实际开采回采率不低于98%。</w:t>
      </w:r>
    </w:p>
    <w:p w14:paraId="4FC89EEF">
      <w:pPr>
        <w:spacing w:line="360" w:lineRule="auto"/>
        <w:ind w:firstLine="420"/>
        <w:rPr>
          <w:rFonts w:ascii="宋体" w:hAnsi="宋体" w:cs="宋体"/>
          <w:sz w:val="28"/>
          <w:szCs w:val="28"/>
        </w:rPr>
      </w:pPr>
      <w:r>
        <w:rPr>
          <w:rFonts w:ascii="宋体" w:hAnsi="宋体" w:cs="宋体"/>
          <w:sz w:val="28"/>
          <w:szCs w:val="28"/>
        </w:rPr>
        <w:t>设计可采储量计算公式如下：</w:t>
      </w:r>
    </w:p>
    <w:p w14:paraId="72149431">
      <w:pPr>
        <w:spacing w:line="360" w:lineRule="auto"/>
        <w:ind w:firstLine="420"/>
        <w:rPr>
          <w:rFonts w:ascii="宋体" w:hAnsi="宋体" w:cs="宋体"/>
          <w:sz w:val="28"/>
          <w:szCs w:val="28"/>
        </w:rPr>
      </w:pPr>
      <w:r>
        <w:rPr>
          <w:rFonts w:ascii="宋体" w:hAnsi="宋体" w:cs="宋体"/>
          <w:sz w:val="28"/>
          <w:szCs w:val="28"/>
        </w:rPr>
        <w:t>设计可采储量=设计利用资源量×</w:t>
      </w:r>
      <w:r>
        <w:rPr>
          <w:rFonts w:hint="eastAsia" w:ascii="宋体" w:hAnsi="宋体" w:cs="宋体"/>
          <w:sz w:val="28"/>
          <w:szCs w:val="28"/>
        </w:rPr>
        <w:t>100%</w:t>
      </w:r>
    </w:p>
    <w:p w14:paraId="705CB235">
      <w:pPr>
        <w:spacing w:line="360" w:lineRule="auto"/>
        <w:ind w:firstLine="2240" w:firstLineChars="800"/>
        <w:rPr>
          <w:rFonts w:ascii="宋体" w:hAnsi="宋体" w:cs="宋体"/>
          <w:sz w:val="28"/>
          <w:szCs w:val="28"/>
        </w:rPr>
      </w:pPr>
      <w:r>
        <w:rPr>
          <w:rFonts w:ascii="宋体" w:hAnsi="宋体" w:cs="宋体"/>
          <w:sz w:val="28"/>
          <w:szCs w:val="28"/>
        </w:rPr>
        <w:t>=</w:t>
      </w:r>
      <w:r>
        <w:rPr>
          <w:rFonts w:hint="eastAsia" w:ascii="宋体" w:hAnsi="宋体" w:cs="宋体"/>
          <w:sz w:val="28"/>
          <w:szCs w:val="28"/>
        </w:rPr>
        <w:t>*****</w:t>
      </w:r>
      <w:r>
        <w:rPr>
          <w:rFonts w:ascii="宋体" w:hAnsi="宋体" w:cs="宋体"/>
          <w:sz w:val="28"/>
          <w:szCs w:val="28"/>
        </w:rPr>
        <w:t>×</w:t>
      </w:r>
      <w:r>
        <w:rPr>
          <w:rFonts w:hint="eastAsia" w:ascii="宋体" w:hAnsi="宋体" w:cs="宋体"/>
          <w:sz w:val="28"/>
          <w:szCs w:val="28"/>
        </w:rPr>
        <w:t>100</w:t>
      </w:r>
      <w:r>
        <w:rPr>
          <w:rFonts w:ascii="宋体" w:hAnsi="宋体" w:cs="宋体"/>
          <w:sz w:val="28"/>
          <w:szCs w:val="28"/>
        </w:rPr>
        <w:t>%</w:t>
      </w:r>
    </w:p>
    <w:p w14:paraId="357E5307">
      <w:pPr>
        <w:spacing w:line="360" w:lineRule="auto"/>
        <w:ind w:firstLine="2240" w:firstLineChars="800"/>
        <w:rPr>
          <w:rFonts w:ascii="宋体" w:hAnsi="宋体" w:cs="宋体"/>
          <w:sz w:val="28"/>
          <w:szCs w:val="28"/>
        </w:rPr>
      </w:pPr>
      <w:r>
        <w:rPr>
          <w:rFonts w:ascii="宋体" w:hAnsi="宋体" w:cs="宋体"/>
          <w:sz w:val="28"/>
          <w:szCs w:val="28"/>
        </w:rPr>
        <w:t>=</w:t>
      </w:r>
      <w:r>
        <w:rPr>
          <w:rFonts w:hint="eastAsia" w:ascii="宋体" w:hAnsi="宋体" w:cs="宋体"/>
          <w:sz w:val="28"/>
          <w:szCs w:val="28"/>
        </w:rPr>
        <w:t>*****</w:t>
      </w:r>
      <w:r>
        <w:rPr>
          <w:rFonts w:ascii="宋体" w:hAnsi="宋体" w:cs="宋体"/>
          <w:sz w:val="28"/>
          <w:szCs w:val="28"/>
        </w:rPr>
        <w:t>万</w:t>
      </w:r>
      <w:r>
        <w:rPr>
          <w:rFonts w:hint="eastAsia" w:ascii="宋体" w:hAnsi="宋体" w:cs="宋体"/>
          <w:sz w:val="28"/>
          <w:szCs w:val="28"/>
        </w:rPr>
        <w:t>m</w:t>
      </w:r>
      <w:r>
        <w:rPr>
          <w:rFonts w:hint="eastAsia" w:ascii="宋体" w:hAnsi="宋体" w:cs="宋体"/>
          <w:sz w:val="28"/>
          <w:szCs w:val="28"/>
          <w:vertAlign w:val="superscript"/>
        </w:rPr>
        <w:t>3</w:t>
      </w:r>
    </w:p>
    <w:p w14:paraId="63A2E228">
      <w:pPr>
        <w:pStyle w:val="5"/>
        <w:spacing w:line="360" w:lineRule="auto"/>
        <w:ind w:firstLine="542" w:firstLineChars="200"/>
        <w:rPr>
          <w:rFonts w:ascii="宋体" w:hAnsi="宋体" w:cs="宋体"/>
          <w:spacing w:val="-5"/>
          <w:sz w:val="28"/>
          <w:szCs w:val="28"/>
        </w:rPr>
      </w:pPr>
      <w:r>
        <w:rPr>
          <w:rFonts w:hint="eastAsia" w:ascii="宋体" w:hAnsi="宋体" w:cs="宋体"/>
          <w:spacing w:val="-5"/>
          <w:sz w:val="28"/>
          <w:szCs w:val="28"/>
        </w:rPr>
        <w:t>6、矿床开拓方案</w:t>
      </w:r>
      <w:bookmarkEnd w:id="199"/>
      <w:bookmarkEnd w:id="200"/>
      <w:bookmarkEnd w:id="201"/>
      <w:bookmarkEnd w:id="202"/>
      <w:bookmarkEnd w:id="203"/>
      <w:bookmarkEnd w:id="204"/>
    </w:p>
    <w:p w14:paraId="6B9F97FF">
      <w:pPr>
        <w:adjustRightInd w:val="0"/>
        <w:snapToGrid w:val="0"/>
        <w:spacing w:line="360" w:lineRule="auto"/>
        <w:ind w:firstLine="560" w:firstLineChars="200"/>
        <w:rPr>
          <w:rFonts w:ascii="宋体" w:hAnsi="宋体" w:cs="宋体"/>
          <w:sz w:val="28"/>
          <w:szCs w:val="28"/>
        </w:rPr>
      </w:pPr>
      <w:r>
        <w:rPr>
          <w:rFonts w:hint="eastAsia"/>
          <w:sz w:val="28"/>
          <w:szCs w:val="28"/>
        </w:rPr>
        <w:t>根据矿区内地貌类型简单，总体</w:t>
      </w:r>
      <w:r>
        <w:rPr>
          <w:rFonts w:hint="eastAsia" w:ascii="宋体" w:hAnsi="宋体" w:cs="仿宋_GB2312"/>
          <w:snapToGrid w:val="0"/>
          <w:kern w:val="0"/>
          <w:sz w:val="28"/>
        </w:rPr>
        <w:t>地形坡度不大</w:t>
      </w:r>
      <w:r>
        <w:rPr>
          <w:rFonts w:hint="eastAsia"/>
          <w:sz w:val="28"/>
          <w:szCs w:val="28"/>
        </w:rPr>
        <w:t>及矿体赋存条件简单，设计采用公路开拓—汽车运输的开拓运输方案。相较于其他开拓运输方案，公路开拓汽车运输机动灵活，基建与运营周期短，维护与管理便捷等优势。</w:t>
      </w:r>
    </w:p>
    <w:p w14:paraId="4C74C314">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根据矿体的赋存条件，地表地形及周边交通条件及现有运输矿石路线等因素综合考虑，设计采场两个总出入口，南侧利用现有出入沟位置，在采场北侧新设一处出入口位置，与190m工作平盘相连，南出入口处中心坐标为：</w:t>
      </w:r>
      <w:r>
        <w:rPr>
          <w:rFonts w:ascii="宋体" w:hAnsi="宋体" w:cs="宋体"/>
          <w:sz w:val="28"/>
          <w:szCs w:val="28"/>
        </w:rPr>
        <w:t>X=41566688.936</w:t>
      </w:r>
      <w:r>
        <w:rPr>
          <w:rFonts w:hint="eastAsia" w:ascii="宋体" w:hAnsi="宋体" w:cs="宋体"/>
          <w:sz w:val="28"/>
          <w:szCs w:val="28"/>
        </w:rPr>
        <w:t>，</w:t>
      </w:r>
      <w:r>
        <w:rPr>
          <w:rFonts w:ascii="宋体" w:hAnsi="宋体" w:cs="宋体"/>
          <w:sz w:val="28"/>
          <w:szCs w:val="28"/>
        </w:rPr>
        <w:t>Y=4658059.767</w:t>
      </w:r>
      <w:r>
        <w:rPr>
          <w:rFonts w:hint="eastAsia" w:ascii="宋体" w:hAnsi="宋体" w:cs="宋体"/>
          <w:sz w:val="28"/>
          <w:szCs w:val="28"/>
        </w:rPr>
        <w:t>，Z=+174m。北出入口中心中标为：</w:t>
      </w:r>
      <w:r>
        <w:rPr>
          <w:rFonts w:ascii="宋体" w:hAnsi="宋体" w:cs="宋体"/>
          <w:sz w:val="28"/>
          <w:szCs w:val="28"/>
        </w:rPr>
        <w:t>X=41566174.025</w:t>
      </w:r>
      <w:r>
        <w:rPr>
          <w:rFonts w:hint="eastAsia" w:ascii="宋体" w:hAnsi="宋体" w:cs="宋体"/>
          <w:sz w:val="28"/>
          <w:szCs w:val="28"/>
        </w:rPr>
        <w:t>，</w:t>
      </w:r>
      <w:r>
        <w:rPr>
          <w:rFonts w:ascii="宋体" w:hAnsi="宋体" w:cs="宋体"/>
          <w:sz w:val="28"/>
          <w:szCs w:val="28"/>
        </w:rPr>
        <w:t>Y=4658432.863</w:t>
      </w:r>
      <w:r>
        <w:rPr>
          <w:rFonts w:hint="eastAsia" w:ascii="宋体" w:hAnsi="宋体" w:cs="宋体"/>
          <w:sz w:val="28"/>
          <w:szCs w:val="28"/>
        </w:rPr>
        <w:t>，</w:t>
      </w:r>
      <w:r>
        <w:rPr>
          <w:rFonts w:ascii="宋体" w:hAnsi="宋体" w:cs="宋体"/>
          <w:sz w:val="28"/>
          <w:szCs w:val="28"/>
        </w:rPr>
        <w:t>Z=194.799。</w:t>
      </w:r>
    </w:p>
    <w:p w14:paraId="5FA9DEBC">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矿山运输线路布置选择固定—半固定的方式，从矿区现有采场内开拓运输干线至山顶首采作业平台标高后，采用剥离、挖掘及装载运输设备等直接进行水平方向的剥离和采矿，待本级台阶开采结束后再至下级作业平台，各生产台阶设临时道路，与运输干线道路相接。采出的岩石利用用自卸汽车运输至工业场地厂房内进行加工破碎。</w:t>
      </w:r>
    </w:p>
    <w:p w14:paraId="2DB5DC87">
      <w:pPr>
        <w:adjustRightInd w:val="0"/>
        <w:snapToGrid w:val="0"/>
        <w:spacing w:line="360" w:lineRule="auto"/>
        <w:ind w:firstLine="560" w:firstLineChars="200"/>
        <w:rPr>
          <w:rFonts w:asciiTheme="minorEastAsia" w:hAnsiTheme="minorEastAsia" w:eastAsiaTheme="minorEastAsia"/>
          <w:sz w:val="28"/>
          <w:szCs w:val="28"/>
        </w:rPr>
      </w:pPr>
      <w:r>
        <w:rPr>
          <w:rFonts w:hint="eastAsia" w:cs="宋体" w:asciiTheme="minorEastAsia" w:hAnsiTheme="minorEastAsia" w:eastAsiaTheme="minorEastAsia"/>
          <w:sz w:val="28"/>
          <w:szCs w:val="28"/>
        </w:rPr>
        <w:t>设计矿山开拓运输道路等级为Ⅲ级，采用单车道设计，路面宽度5m；</w:t>
      </w:r>
      <w:r>
        <w:rPr>
          <w:rFonts w:hint="eastAsia" w:asciiTheme="minorEastAsia" w:hAnsiTheme="minorEastAsia" w:eastAsiaTheme="minorEastAsia"/>
          <w:sz w:val="28"/>
          <w:szCs w:val="28"/>
        </w:rPr>
        <w:t>在适当的间隔距离内设置错车道；道路最小圆曲线半径</w:t>
      </w:r>
      <w:r>
        <w:rPr>
          <w:rFonts w:asciiTheme="minorEastAsia" w:hAnsiTheme="minorEastAsia" w:eastAsiaTheme="minorEastAsia"/>
          <w:sz w:val="28"/>
          <w:szCs w:val="28"/>
        </w:rPr>
        <w:t>15m</w:t>
      </w:r>
      <w:r>
        <w:rPr>
          <w:rFonts w:hint="eastAsia" w:asciiTheme="minorEastAsia" w:hAnsiTheme="minorEastAsia" w:eastAsiaTheme="minorEastAsia"/>
          <w:sz w:val="28"/>
          <w:szCs w:val="28"/>
        </w:rPr>
        <w:t>，圆曲线上设置超高，超高横坡取</w:t>
      </w:r>
      <w:r>
        <w:rPr>
          <w:rFonts w:asciiTheme="minorEastAsia" w:hAnsiTheme="minorEastAsia" w:eastAsiaTheme="minorEastAsia"/>
          <w:sz w:val="28"/>
          <w:szCs w:val="28"/>
        </w:rPr>
        <w:t>6%</w:t>
      </w:r>
      <w:r>
        <w:rPr>
          <w:rFonts w:hint="eastAsia" w:asciiTheme="minorEastAsia" w:hAnsiTheme="minorEastAsia" w:eastAsiaTheme="minorEastAsia"/>
          <w:sz w:val="28"/>
          <w:szCs w:val="28"/>
        </w:rPr>
        <w:t>；缓和段长度</w:t>
      </w:r>
      <w:r>
        <w:rPr>
          <w:rFonts w:asciiTheme="minorEastAsia" w:hAnsiTheme="minorEastAsia" w:eastAsiaTheme="minorEastAsia"/>
          <w:sz w:val="28"/>
          <w:szCs w:val="28"/>
        </w:rPr>
        <w:t>20m</w:t>
      </w:r>
      <w:r>
        <w:rPr>
          <w:rFonts w:hint="eastAsia" w:asciiTheme="minorEastAsia" w:hAnsiTheme="minorEastAsia" w:eastAsiaTheme="minorEastAsia"/>
          <w:sz w:val="28"/>
          <w:szCs w:val="28"/>
        </w:rPr>
        <w:t>；道路纵坡不大于</w:t>
      </w:r>
      <w:r>
        <w:rPr>
          <w:rFonts w:asciiTheme="minorEastAsia" w:hAnsiTheme="minorEastAsia" w:eastAsiaTheme="minorEastAsia"/>
          <w:sz w:val="28"/>
          <w:szCs w:val="28"/>
        </w:rPr>
        <w:t>8%</w:t>
      </w:r>
      <w:r>
        <w:rPr>
          <w:rFonts w:hint="eastAsia" w:asciiTheme="minorEastAsia" w:hAnsiTheme="minorEastAsia" w:eastAsiaTheme="minorEastAsia"/>
          <w:sz w:val="28"/>
          <w:szCs w:val="28"/>
        </w:rPr>
        <w:t>，局部重车下坡地段不大于</w:t>
      </w:r>
      <w:r>
        <w:rPr>
          <w:rFonts w:asciiTheme="minorEastAsia" w:hAnsiTheme="minorEastAsia" w:eastAsiaTheme="minorEastAsia"/>
          <w:sz w:val="28"/>
          <w:szCs w:val="28"/>
        </w:rPr>
        <w:t>10%</w:t>
      </w:r>
      <w:r>
        <w:rPr>
          <w:rFonts w:hint="eastAsia" w:asciiTheme="minorEastAsia" w:hAnsiTheme="minorEastAsia" w:eastAsiaTheme="minorEastAsia"/>
          <w:sz w:val="28"/>
          <w:szCs w:val="28"/>
        </w:rPr>
        <w:t>。</w:t>
      </w:r>
    </w:p>
    <w:p w14:paraId="5CF3E584">
      <w:pPr>
        <w:pStyle w:val="5"/>
        <w:spacing w:line="360" w:lineRule="auto"/>
        <w:ind w:firstLine="542" w:firstLineChars="200"/>
        <w:rPr>
          <w:rFonts w:ascii="宋体" w:hAnsi="宋体" w:cs="宋体"/>
          <w:spacing w:val="-5"/>
          <w:sz w:val="28"/>
          <w:szCs w:val="28"/>
        </w:rPr>
      </w:pPr>
      <w:bookmarkStart w:id="206" w:name="_Toc19151"/>
      <w:bookmarkStart w:id="207" w:name="_Toc19417"/>
      <w:bookmarkStart w:id="208" w:name="_Toc15"/>
      <w:r>
        <w:rPr>
          <w:rFonts w:hint="eastAsia" w:ascii="宋体" w:hAnsi="宋体" w:cs="宋体"/>
          <w:spacing w:val="-5"/>
          <w:sz w:val="28"/>
          <w:szCs w:val="28"/>
        </w:rPr>
        <w:t>7、开采方法</w:t>
      </w:r>
      <w:bookmarkEnd w:id="206"/>
      <w:bookmarkEnd w:id="207"/>
      <w:bookmarkEnd w:id="208"/>
    </w:p>
    <w:p w14:paraId="2139FD98">
      <w:pPr>
        <w:spacing w:line="360" w:lineRule="auto"/>
        <w:ind w:firstLine="560" w:firstLineChars="200"/>
        <w:rPr>
          <w:rFonts w:ascii="宋体" w:cs="宋体"/>
          <w:kern w:val="0"/>
          <w:sz w:val="28"/>
          <w:szCs w:val="28"/>
        </w:rPr>
      </w:pPr>
      <w:r>
        <w:rPr>
          <w:rFonts w:hint="eastAsia" w:ascii="宋体" w:cs="宋体"/>
          <w:kern w:val="0"/>
          <w:sz w:val="28"/>
          <w:szCs w:val="28"/>
        </w:rPr>
        <w:t>该矿山属于山坡露天矿山，开采顺序为自上而下分阶段开采。设计采用单台阶作业，由高至低逐个台阶开采，剥离区域台阶高度为10m，坡面角为65º，生产台阶的平台宽度不小于16m，终了台阶平台宽度不小于5m，推进至最终边帮时，每两个台阶并段成一个高20m的台阶。矿石爆破后直接装车运至碎石加工场地，矿区内的表土及风化覆盖层剥离运输至临时排土场</w:t>
      </w:r>
      <w:r>
        <w:rPr>
          <w:rFonts w:hint="eastAsia"/>
          <w:sz w:val="28"/>
          <w:szCs w:val="28"/>
        </w:rPr>
        <w:t>。</w:t>
      </w:r>
    </w:p>
    <w:p w14:paraId="71472E22">
      <w:pPr>
        <w:spacing w:line="360" w:lineRule="auto"/>
        <w:ind w:firstLine="560" w:firstLineChars="200"/>
        <w:rPr>
          <w:rFonts w:ascii="宋体" w:hAnsi="宋体" w:cs="宋体"/>
          <w:sz w:val="28"/>
          <w:szCs w:val="28"/>
        </w:rPr>
      </w:pPr>
      <w:r>
        <w:rPr>
          <w:rFonts w:hint="eastAsia" w:ascii="宋体" w:hAnsi="宋体" w:cs="宋体"/>
          <w:sz w:val="28"/>
          <w:szCs w:val="28"/>
        </w:rPr>
        <w:t>1、穿孔爆破</w:t>
      </w:r>
    </w:p>
    <w:p w14:paraId="4E981786">
      <w:pPr>
        <w:tabs>
          <w:tab w:val="left" w:pos="4140"/>
          <w:tab w:val="left" w:pos="4320"/>
        </w:tabs>
        <w:spacing w:line="360" w:lineRule="auto"/>
        <w:ind w:firstLine="560" w:firstLineChars="200"/>
        <w:rPr>
          <w:rFonts w:ascii="宋体" w:hAnsi="宋体"/>
          <w:sz w:val="28"/>
          <w:szCs w:val="28"/>
        </w:rPr>
      </w:pPr>
      <w:r>
        <w:rPr>
          <w:sz w:val="28"/>
          <w:szCs w:val="28"/>
        </w:rPr>
        <w:t>据矿山阶段高度、矿山生产规模以及矿岩性质，参照类似矿山经验，设计选用</w:t>
      </w:r>
      <w:r>
        <w:rPr>
          <w:rFonts w:ascii="宋体" w:hAnsi="宋体"/>
          <w:sz w:val="28"/>
          <w:szCs w:val="28"/>
        </w:rPr>
        <w:t>KQ-90</w:t>
      </w:r>
      <w:r>
        <w:rPr>
          <w:sz w:val="28"/>
          <w:szCs w:val="28"/>
        </w:rPr>
        <w:t>型潜孔钻机，进行穿孔作业，台班效率</w:t>
      </w:r>
      <w:r>
        <w:rPr>
          <w:rFonts w:hint="eastAsia"/>
          <w:sz w:val="28"/>
          <w:szCs w:val="28"/>
        </w:rPr>
        <w:t>20m/台。</w:t>
      </w:r>
      <w:r>
        <w:rPr>
          <w:rFonts w:hint="eastAsia" w:ascii="宋体" w:hAnsi="宋体"/>
          <w:sz w:val="28"/>
          <w:szCs w:val="28"/>
        </w:rPr>
        <w:t>设计选用DTH90型气电动空压机进行供气。</w:t>
      </w:r>
    </w:p>
    <w:p w14:paraId="506191AC">
      <w:pPr>
        <w:tabs>
          <w:tab w:val="left" w:pos="4140"/>
          <w:tab w:val="left" w:pos="4320"/>
        </w:tabs>
        <w:spacing w:line="360" w:lineRule="auto"/>
        <w:jc w:val="center"/>
        <w:rPr>
          <w:rFonts w:ascii="宋体" w:hAnsi="宋体"/>
          <w:szCs w:val="21"/>
        </w:rPr>
      </w:pPr>
      <w:r>
        <w:rPr>
          <w:rFonts w:hint="eastAsia" w:ascii="宋体" w:hAnsi="宋体"/>
          <w:b/>
          <w:szCs w:val="21"/>
        </w:rPr>
        <w:t>表4-3   KQ-90型潜孔钻机主要技术特征</w:t>
      </w: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023"/>
        <w:gridCol w:w="974"/>
        <w:gridCol w:w="1003"/>
        <w:gridCol w:w="1003"/>
        <w:gridCol w:w="1545"/>
        <w:gridCol w:w="1088"/>
        <w:gridCol w:w="883"/>
      </w:tblGrid>
      <w:tr w14:paraId="15C2B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ign w:val="center"/>
          </w:tcPr>
          <w:p w14:paraId="20E72CDA">
            <w:pPr>
              <w:tabs>
                <w:tab w:val="left" w:pos="4320"/>
              </w:tabs>
              <w:jc w:val="center"/>
              <w:rPr>
                <w:rFonts w:ascii="宋体" w:hAnsi="宋体"/>
                <w:szCs w:val="21"/>
              </w:rPr>
            </w:pPr>
            <w:r>
              <w:rPr>
                <w:rFonts w:hint="eastAsia" w:ascii="宋体" w:hAnsi="宋体"/>
                <w:szCs w:val="21"/>
              </w:rPr>
              <w:t>机型</w:t>
            </w:r>
          </w:p>
        </w:tc>
        <w:tc>
          <w:tcPr>
            <w:tcW w:w="1023" w:type="dxa"/>
            <w:noWrap/>
            <w:vAlign w:val="center"/>
          </w:tcPr>
          <w:p w14:paraId="6F1F4617">
            <w:pPr>
              <w:tabs>
                <w:tab w:val="left" w:pos="4320"/>
              </w:tabs>
              <w:jc w:val="center"/>
              <w:rPr>
                <w:rFonts w:ascii="宋体" w:hAnsi="宋体"/>
                <w:szCs w:val="21"/>
              </w:rPr>
            </w:pPr>
            <w:r>
              <w:rPr>
                <w:rFonts w:hint="eastAsia" w:ascii="宋体" w:hAnsi="宋体"/>
                <w:szCs w:val="21"/>
              </w:rPr>
              <w:t>钻孔直径(mm)</w:t>
            </w:r>
          </w:p>
        </w:tc>
        <w:tc>
          <w:tcPr>
            <w:tcW w:w="974" w:type="dxa"/>
            <w:noWrap/>
            <w:vAlign w:val="center"/>
          </w:tcPr>
          <w:p w14:paraId="666F33BC">
            <w:pPr>
              <w:tabs>
                <w:tab w:val="left" w:pos="4320"/>
              </w:tabs>
              <w:jc w:val="center"/>
              <w:rPr>
                <w:rFonts w:ascii="宋体" w:hAnsi="宋体"/>
                <w:szCs w:val="21"/>
              </w:rPr>
            </w:pPr>
            <w:r>
              <w:rPr>
                <w:rFonts w:hint="eastAsia" w:ascii="宋体" w:hAnsi="宋体"/>
                <w:szCs w:val="21"/>
              </w:rPr>
              <w:t>钻孔深度（m）</w:t>
            </w:r>
          </w:p>
        </w:tc>
        <w:tc>
          <w:tcPr>
            <w:tcW w:w="1003" w:type="dxa"/>
            <w:noWrap/>
            <w:vAlign w:val="center"/>
          </w:tcPr>
          <w:p w14:paraId="692DBD65">
            <w:pPr>
              <w:tabs>
                <w:tab w:val="left" w:pos="4320"/>
              </w:tabs>
              <w:jc w:val="center"/>
              <w:rPr>
                <w:rFonts w:ascii="宋体" w:hAnsi="宋体"/>
                <w:szCs w:val="21"/>
              </w:rPr>
            </w:pPr>
            <w:r>
              <w:rPr>
                <w:rFonts w:hint="eastAsia" w:ascii="宋体" w:hAnsi="宋体"/>
                <w:szCs w:val="21"/>
              </w:rPr>
              <w:t>孔向（度）</w:t>
            </w:r>
          </w:p>
        </w:tc>
        <w:tc>
          <w:tcPr>
            <w:tcW w:w="1003" w:type="dxa"/>
            <w:noWrap/>
            <w:vAlign w:val="center"/>
          </w:tcPr>
          <w:p w14:paraId="6DBE1400">
            <w:pPr>
              <w:tabs>
                <w:tab w:val="left" w:pos="4320"/>
              </w:tabs>
              <w:jc w:val="center"/>
              <w:rPr>
                <w:rFonts w:ascii="宋体" w:hAnsi="宋体"/>
                <w:szCs w:val="21"/>
              </w:rPr>
            </w:pPr>
            <w:r>
              <w:rPr>
                <w:rFonts w:hint="eastAsia" w:ascii="宋体" w:hAnsi="宋体"/>
                <w:szCs w:val="21"/>
              </w:rPr>
              <w:t>适应</w:t>
            </w:r>
          </w:p>
          <w:p w14:paraId="4A764311">
            <w:pPr>
              <w:tabs>
                <w:tab w:val="left" w:pos="4320"/>
              </w:tabs>
              <w:jc w:val="center"/>
              <w:rPr>
                <w:rFonts w:ascii="宋体" w:hAnsi="宋体"/>
                <w:szCs w:val="21"/>
              </w:rPr>
            </w:pPr>
            <w:r>
              <w:rPr>
                <w:rFonts w:hint="eastAsia" w:ascii="宋体" w:hAnsi="宋体"/>
                <w:szCs w:val="21"/>
              </w:rPr>
              <w:t>岩种</w:t>
            </w:r>
          </w:p>
        </w:tc>
        <w:tc>
          <w:tcPr>
            <w:tcW w:w="1545" w:type="dxa"/>
            <w:noWrap/>
            <w:vAlign w:val="center"/>
          </w:tcPr>
          <w:p w14:paraId="661D1D6B">
            <w:pPr>
              <w:tabs>
                <w:tab w:val="left" w:pos="4320"/>
              </w:tabs>
              <w:jc w:val="center"/>
              <w:rPr>
                <w:rFonts w:ascii="宋体" w:hAnsi="宋体"/>
                <w:szCs w:val="21"/>
              </w:rPr>
            </w:pPr>
            <w:r>
              <w:rPr>
                <w:rFonts w:hint="eastAsia" w:ascii="宋体" w:hAnsi="宋体"/>
                <w:szCs w:val="21"/>
              </w:rPr>
              <w:t>工作气压</w:t>
            </w:r>
          </w:p>
        </w:tc>
        <w:tc>
          <w:tcPr>
            <w:tcW w:w="1088" w:type="dxa"/>
            <w:noWrap/>
            <w:vAlign w:val="center"/>
          </w:tcPr>
          <w:p w14:paraId="571A002E">
            <w:pPr>
              <w:tabs>
                <w:tab w:val="left" w:pos="4320"/>
              </w:tabs>
              <w:jc w:val="center"/>
              <w:rPr>
                <w:rFonts w:ascii="宋体" w:hAnsi="宋体"/>
                <w:szCs w:val="21"/>
              </w:rPr>
            </w:pPr>
            <w:r>
              <w:rPr>
                <w:rFonts w:hint="eastAsia" w:ascii="宋体" w:hAnsi="宋体"/>
                <w:szCs w:val="21"/>
              </w:rPr>
              <w:t>耗气量</w:t>
            </w:r>
          </w:p>
          <w:p w14:paraId="574D0BCE">
            <w:pPr>
              <w:tabs>
                <w:tab w:val="left" w:pos="4320"/>
              </w:tabs>
              <w:jc w:val="center"/>
              <w:rPr>
                <w:rFonts w:ascii="宋体" w:hAnsi="宋体" w:cs="仿宋_GB2312"/>
                <w:szCs w:val="21"/>
                <w:vertAlign w:val="superscript"/>
                <w:lang w:val="zh-CN"/>
              </w:rPr>
            </w:pPr>
            <w:r>
              <w:rPr>
                <w:rFonts w:hint="eastAsia" w:ascii="宋体" w:hAnsi="宋体"/>
                <w:szCs w:val="21"/>
              </w:rPr>
              <w:t>（</w:t>
            </w:r>
            <w:r>
              <w:rPr>
                <w:rFonts w:hint="eastAsia" w:ascii="宋体" w:hAnsi="宋体" w:cs="仿宋_GB2312"/>
                <w:szCs w:val="21"/>
                <w:lang w:val="zh-CN"/>
              </w:rPr>
              <w:t>m</w:t>
            </w:r>
            <w:r>
              <w:rPr>
                <w:rFonts w:hint="eastAsia" w:ascii="宋体" w:hAnsi="宋体" w:cs="仿宋_GB2312"/>
                <w:szCs w:val="21"/>
                <w:vertAlign w:val="superscript"/>
                <w:lang w:val="zh-CN"/>
              </w:rPr>
              <w:t>3</w:t>
            </w:r>
            <w:r>
              <w:rPr>
                <w:rFonts w:hint="eastAsia"/>
                <w:b/>
                <w:szCs w:val="21"/>
              </w:rPr>
              <w:t>/</w:t>
            </w:r>
            <w:r>
              <w:rPr>
                <w:rFonts w:hint="eastAsia"/>
                <w:szCs w:val="21"/>
              </w:rPr>
              <w:t>分）</w:t>
            </w:r>
          </w:p>
        </w:tc>
        <w:tc>
          <w:tcPr>
            <w:tcW w:w="883" w:type="dxa"/>
            <w:noWrap/>
            <w:vAlign w:val="center"/>
          </w:tcPr>
          <w:p w14:paraId="72CB936E">
            <w:pPr>
              <w:tabs>
                <w:tab w:val="left" w:pos="4320"/>
              </w:tabs>
              <w:jc w:val="center"/>
              <w:rPr>
                <w:rFonts w:ascii="宋体" w:hAnsi="宋体"/>
                <w:szCs w:val="21"/>
              </w:rPr>
            </w:pPr>
            <w:r>
              <w:rPr>
                <w:rFonts w:hint="eastAsia" w:ascii="宋体" w:hAnsi="宋体"/>
                <w:szCs w:val="21"/>
              </w:rPr>
              <w:t>数量</w:t>
            </w:r>
          </w:p>
          <w:p w14:paraId="794801A4">
            <w:pPr>
              <w:tabs>
                <w:tab w:val="left" w:pos="4320"/>
              </w:tabs>
              <w:jc w:val="center"/>
              <w:rPr>
                <w:rFonts w:ascii="宋体" w:hAnsi="宋体"/>
                <w:szCs w:val="21"/>
              </w:rPr>
            </w:pPr>
            <w:r>
              <w:rPr>
                <w:rFonts w:hint="eastAsia" w:ascii="宋体" w:hAnsi="宋体"/>
                <w:szCs w:val="21"/>
              </w:rPr>
              <w:t>（台）</w:t>
            </w:r>
          </w:p>
        </w:tc>
      </w:tr>
      <w:tr w14:paraId="0712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ign w:val="center"/>
          </w:tcPr>
          <w:p w14:paraId="691CEA75">
            <w:pPr>
              <w:tabs>
                <w:tab w:val="left" w:pos="4320"/>
              </w:tabs>
              <w:spacing w:line="360" w:lineRule="auto"/>
              <w:jc w:val="center"/>
              <w:rPr>
                <w:rFonts w:ascii="宋体" w:hAnsi="宋体"/>
                <w:szCs w:val="21"/>
              </w:rPr>
            </w:pPr>
            <w:r>
              <w:rPr>
                <w:rFonts w:hint="eastAsia" w:ascii="宋体" w:hAnsi="宋体"/>
                <w:szCs w:val="21"/>
              </w:rPr>
              <w:t>KQ-90</w:t>
            </w:r>
          </w:p>
        </w:tc>
        <w:tc>
          <w:tcPr>
            <w:tcW w:w="1023" w:type="dxa"/>
            <w:noWrap/>
            <w:vAlign w:val="center"/>
          </w:tcPr>
          <w:p w14:paraId="1D9D44CA">
            <w:pPr>
              <w:tabs>
                <w:tab w:val="left" w:pos="4320"/>
              </w:tabs>
              <w:spacing w:line="360" w:lineRule="auto"/>
              <w:jc w:val="center"/>
              <w:rPr>
                <w:rFonts w:ascii="宋体" w:hAnsi="宋体"/>
                <w:szCs w:val="21"/>
              </w:rPr>
            </w:pPr>
            <w:r>
              <w:rPr>
                <w:rFonts w:hint="eastAsia" w:ascii="宋体" w:hAnsi="宋体"/>
                <w:szCs w:val="21"/>
              </w:rPr>
              <w:t>90</w:t>
            </w:r>
            <w:r>
              <w:rPr>
                <w:rFonts w:hint="eastAsia"/>
                <w:szCs w:val="21"/>
              </w:rPr>
              <w:t>～</w:t>
            </w:r>
            <w:r>
              <w:rPr>
                <w:rFonts w:hint="eastAsia" w:ascii="宋体" w:hAnsi="宋体"/>
                <w:szCs w:val="21"/>
              </w:rPr>
              <w:t>120</w:t>
            </w:r>
          </w:p>
        </w:tc>
        <w:tc>
          <w:tcPr>
            <w:tcW w:w="974" w:type="dxa"/>
            <w:noWrap/>
            <w:vAlign w:val="center"/>
          </w:tcPr>
          <w:p w14:paraId="5AB6F925">
            <w:pPr>
              <w:tabs>
                <w:tab w:val="left" w:pos="4320"/>
              </w:tabs>
              <w:spacing w:line="360" w:lineRule="auto"/>
              <w:jc w:val="center"/>
              <w:rPr>
                <w:rFonts w:ascii="宋体" w:hAnsi="宋体"/>
                <w:szCs w:val="21"/>
              </w:rPr>
            </w:pPr>
            <w:r>
              <w:rPr>
                <w:rFonts w:hint="eastAsia" w:ascii="宋体" w:hAnsi="宋体"/>
                <w:szCs w:val="21"/>
              </w:rPr>
              <w:t>30</w:t>
            </w:r>
          </w:p>
        </w:tc>
        <w:tc>
          <w:tcPr>
            <w:tcW w:w="1003" w:type="dxa"/>
            <w:noWrap/>
            <w:vAlign w:val="center"/>
          </w:tcPr>
          <w:p w14:paraId="6AAB3D9C">
            <w:pPr>
              <w:tabs>
                <w:tab w:val="left" w:pos="4320"/>
              </w:tabs>
              <w:spacing w:line="360" w:lineRule="auto"/>
              <w:jc w:val="center"/>
              <w:rPr>
                <w:rFonts w:ascii="宋体" w:hAnsi="宋体"/>
                <w:szCs w:val="21"/>
              </w:rPr>
            </w:pPr>
            <w:r>
              <w:rPr>
                <w:rFonts w:hint="eastAsia" w:ascii="宋体" w:hAnsi="宋体"/>
                <w:szCs w:val="21"/>
              </w:rPr>
              <w:t>多角度</w:t>
            </w:r>
          </w:p>
        </w:tc>
        <w:tc>
          <w:tcPr>
            <w:tcW w:w="1003" w:type="dxa"/>
            <w:noWrap/>
            <w:vAlign w:val="center"/>
          </w:tcPr>
          <w:p w14:paraId="7530457D">
            <w:pPr>
              <w:tabs>
                <w:tab w:val="left" w:pos="4320"/>
              </w:tabs>
              <w:spacing w:line="360" w:lineRule="auto"/>
              <w:jc w:val="center"/>
              <w:rPr>
                <w:rFonts w:ascii="宋体" w:hAnsi="宋体"/>
                <w:szCs w:val="21"/>
              </w:rPr>
            </w:pPr>
            <w:r>
              <w:rPr>
                <w:rFonts w:hint="eastAsia" w:ascii="宋体" w:hAnsi="宋体"/>
                <w:szCs w:val="21"/>
              </w:rPr>
              <w:t>f:6-18</w:t>
            </w:r>
          </w:p>
        </w:tc>
        <w:tc>
          <w:tcPr>
            <w:tcW w:w="1545" w:type="dxa"/>
            <w:noWrap/>
            <w:vAlign w:val="center"/>
          </w:tcPr>
          <w:p w14:paraId="017E2131">
            <w:pPr>
              <w:tabs>
                <w:tab w:val="left" w:pos="4320"/>
              </w:tabs>
              <w:spacing w:line="360" w:lineRule="auto"/>
              <w:ind w:left="-42" w:leftChars="-40" w:hanging="42" w:hangingChars="20"/>
              <w:jc w:val="center"/>
              <w:rPr>
                <w:rFonts w:ascii="宋体" w:hAnsi="宋体"/>
                <w:szCs w:val="21"/>
              </w:rPr>
            </w:pPr>
            <w:r>
              <w:rPr>
                <w:rFonts w:hint="eastAsia" w:ascii="宋体" w:hAnsi="宋体"/>
                <w:szCs w:val="21"/>
              </w:rPr>
              <w:t>0.49</w:t>
            </w:r>
            <w:r>
              <w:rPr>
                <w:rFonts w:hint="eastAsia"/>
                <w:szCs w:val="21"/>
              </w:rPr>
              <w:t>～</w:t>
            </w:r>
            <w:r>
              <w:rPr>
                <w:rFonts w:hint="eastAsia" w:ascii="宋体" w:hAnsi="宋体"/>
                <w:szCs w:val="21"/>
              </w:rPr>
              <w:t>0.69MPa</w:t>
            </w:r>
          </w:p>
        </w:tc>
        <w:tc>
          <w:tcPr>
            <w:tcW w:w="1088" w:type="dxa"/>
            <w:noWrap/>
            <w:vAlign w:val="center"/>
          </w:tcPr>
          <w:p w14:paraId="26AB3E69">
            <w:pPr>
              <w:tabs>
                <w:tab w:val="left" w:pos="4320"/>
              </w:tabs>
              <w:spacing w:line="360" w:lineRule="auto"/>
              <w:jc w:val="center"/>
              <w:rPr>
                <w:rFonts w:ascii="宋体" w:hAnsi="宋体"/>
                <w:szCs w:val="21"/>
              </w:rPr>
            </w:pPr>
            <w:r>
              <w:rPr>
                <w:rFonts w:hint="eastAsia" w:ascii="宋体" w:hAnsi="宋体"/>
                <w:szCs w:val="21"/>
              </w:rPr>
              <w:t>9</w:t>
            </w:r>
          </w:p>
        </w:tc>
        <w:tc>
          <w:tcPr>
            <w:tcW w:w="883" w:type="dxa"/>
            <w:noWrap/>
            <w:vAlign w:val="center"/>
          </w:tcPr>
          <w:p w14:paraId="5B562D91">
            <w:pPr>
              <w:tabs>
                <w:tab w:val="left" w:pos="4320"/>
              </w:tabs>
              <w:spacing w:line="360" w:lineRule="auto"/>
              <w:jc w:val="center"/>
              <w:rPr>
                <w:rFonts w:ascii="宋体" w:hAnsi="宋体"/>
                <w:szCs w:val="21"/>
              </w:rPr>
            </w:pPr>
            <w:r>
              <w:rPr>
                <w:rFonts w:hint="eastAsia" w:ascii="宋体" w:hAnsi="宋体"/>
                <w:szCs w:val="21"/>
              </w:rPr>
              <w:t>4</w:t>
            </w:r>
          </w:p>
        </w:tc>
      </w:tr>
    </w:tbl>
    <w:p w14:paraId="36BE56E7">
      <w:pPr>
        <w:widowControl/>
        <w:spacing w:beforeLines="100" w:line="360" w:lineRule="auto"/>
        <w:jc w:val="center"/>
        <w:rPr>
          <w:spacing w:val="10"/>
          <w:szCs w:val="21"/>
        </w:rPr>
      </w:pPr>
      <w:r>
        <w:rPr>
          <w:rFonts w:hint="eastAsia" w:ascii="宋体" w:hAnsi="宋体"/>
          <w:b/>
          <w:color w:val="000000"/>
          <w:szCs w:val="21"/>
        </w:rPr>
        <w:t>表 4-4   穿孔爆破参数一览表</w:t>
      </w:r>
    </w:p>
    <w:tbl>
      <w:tblPr>
        <w:tblStyle w:val="42"/>
        <w:tblW w:w="4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2114"/>
        <w:gridCol w:w="1568"/>
        <w:gridCol w:w="2230"/>
        <w:gridCol w:w="1170"/>
      </w:tblGrid>
      <w:tr w14:paraId="31C73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3F4515FE">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序号</w:t>
            </w:r>
          </w:p>
        </w:tc>
        <w:tc>
          <w:tcPr>
            <w:tcW w:w="2114" w:type="dxa"/>
            <w:vAlign w:val="center"/>
          </w:tcPr>
          <w:p w14:paraId="3178EBA3">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计算项目</w:t>
            </w:r>
          </w:p>
        </w:tc>
        <w:tc>
          <w:tcPr>
            <w:tcW w:w="1568" w:type="dxa"/>
            <w:vAlign w:val="center"/>
          </w:tcPr>
          <w:p w14:paraId="18C58231">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单位</w:t>
            </w:r>
          </w:p>
        </w:tc>
        <w:tc>
          <w:tcPr>
            <w:tcW w:w="2230" w:type="dxa"/>
            <w:vAlign w:val="center"/>
          </w:tcPr>
          <w:p w14:paraId="28C43A7F">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公式、符号</w:t>
            </w:r>
          </w:p>
        </w:tc>
        <w:tc>
          <w:tcPr>
            <w:tcW w:w="1170" w:type="dxa"/>
            <w:vAlign w:val="center"/>
          </w:tcPr>
          <w:p w14:paraId="52D81B04">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结果</w:t>
            </w:r>
          </w:p>
        </w:tc>
      </w:tr>
      <w:tr w14:paraId="5FC16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0A8CA89F">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1</w:t>
            </w:r>
          </w:p>
        </w:tc>
        <w:tc>
          <w:tcPr>
            <w:tcW w:w="2114" w:type="dxa"/>
            <w:vAlign w:val="center"/>
          </w:tcPr>
          <w:p w14:paraId="522C7529">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年工作天数</w:t>
            </w:r>
          </w:p>
        </w:tc>
        <w:tc>
          <w:tcPr>
            <w:tcW w:w="1568" w:type="dxa"/>
            <w:vAlign w:val="center"/>
          </w:tcPr>
          <w:p w14:paraId="5561AA7A">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天</w:t>
            </w:r>
          </w:p>
        </w:tc>
        <w:tc>
          <w:tcPr>
            <w:tcW w:w="2230" w:type="dxa"/>
            <w:vAlign w:val="center"/>
          </w:tcPr>
          <w:p w14:paraId="253144B1">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S</w:t>
            </w:r>
          </w:p>
        </w:tc>
        <w:tc>
          <w:tcPr>
            <w:tcW w:w="1170" w:type="dxa"/>
            <w:vAlign w:val="center"/>
          </w:tcPr>
          <w:p w14:paraId="2F503CEF">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300</w:t>
            </w:r>
          </w:p>
        </w:tc>
      </w:tr>
      <w:tr w14:paraId="23813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4D3A5F64">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2</w:t>
            </w:r>
          </w:p>
        </w:tc>
        <w:tc>
          <w:tcPr>
            <w:tcW w:w="2114" w:type="dxa"/>
            <w:vAlign w:val="center"/>
          </w:tcPr>
          <w:p w14:paraId="34FEBD0C">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日工作班数</w:t>
            </w:r>
          </w:p>
        </w:tc>
        <w:tc>
          <w:tcPr>
            <w:tcW w:w="1568" w:type="dxa"/>
            <w:vAlign w:val="center"/>
          </w:tcPr>
          <w:p w14:paraId="3DFB98C6">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班</w:t>
            </w:r>
          </w:p>
        </w:tc>
        <w:tc>
          <w:tcPr>
            <w:tcW w:w="2230" w:type="dxa"/>
            <w:vAlign w:val="center"/>
          </w:tcPr>
          <w:p w14:paraId="3297E615">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C</w:t>
            </w:r>
          </w:p>
        </w:tc>
        <w:tc>
          <w:tcPr>
            <w:tcW w:w="1170" w:type="dxa"/>
            <w:vAlign w:val="center"/>
          </w:tcPr>
          <w:p w14:paraId="26226C4F">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w:t>
            </w:r>
          </w:p>
        </w:tc>
      </w:tr>
      <w:tr w14:paraId="67FCE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4FEF71ED">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3</w:t>
            </w:r>
          </w:p>
        </w:tc>
        <w:tc>
          <w:tcPr>
            <w:tcW w:w="2114" w:type="dxa"/>
            <w:vAlign w:val="center"/>
          </w:tcPr>
          <w:p w14:paraId="558172A7">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台班效率</w:t>
            </w:r>
          </w:p>
        </w:tc>
        <w:tc>
          <w:tcPr>
            <w:tcW w:w="1568" w:type="dxa"/>
            <w:vAlign w:val="center"/>
          </w:tcPr>
          <w:p w14:paraId="7851B29B">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m/台班</w:t>
            </w:r>
          </w:p>
        </w:tc>
        <w:tc>
          <w:tcPr>
            <w:tcW w:w="2230" w:type="dxa"/>
            <w:vAlign w:val="center"/>
          </w:tcPr>
          <w:p w14:paraId="28C11BB7">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L2</w:t>
            </w:r>
          </w:p>
        </w:tc>
        <w:tc>
          <w:tcPr>
            <w:tcW w:w="1170" w:type="dxa"/>
            <w:vAlign w:val="center"/>
          </w:tcPr>
          <w:p w14:paraId="07C7CED4">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30</w:t>
            </w:r>
          </w:p>
        </w:tc>
      </w:tr>
      <w:tr w14:paraId="3A55B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5CFEF3E5">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4</w:t>
            </w:r>
          </w:p>
        </w:tc>
        <w:tc>
          <w:tcPr>
            <w:tcW w:w="2114" w:type="dxa"/>
            <w:vAlign w:val="center"/>
          </w:tcPr>
          <w:p w14:paraId="4D20319B">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台日效率</w:t>
            </w:r>
          </w:p>
        </w:tc>
        <w:tc>
          <w:tcPr>
            <w:tcW w:w="1568" w:type="dxa"/>
            <w:vAlign w:val="center"/>
          </w:tcPr>
          <w:p w14:paraId="42A34492">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m/台日</w:t>
            </w:r>
          </w:p>
        </w:tc>
        <w:tc>
          <w:tcPr>
            <w:tcW w:w="2230" w:type="dxa"/>
            <w:vAlign w:val="center"/>
          </w:tcPr>
          <w:p w14:paraId="25489E91">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L1=C×L2</w:t>
            </w:r>
          </w:p>
        </w:tc>
        <w:tc>
          <w:tcPr>
            <w:tcW w:w="1170" w:type="dxa"/>
            <w:vAlign w:val="center"/>
          </w:tcPr>
          <w:p w14:paraId="5DDF8A5D">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30</w:t>
            </w:r>
          </w:p>
        </w:tc>
      </w:tr>
      <w:tr w14:paraId="66FCD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1AB8B5B0">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5</w:t>
            </w:r>
          </w:p>
        </w:tc>
        <w:tc>
          <w:tcPr>
            <w:tcW w:w="2114" w:type="dxa"/>
            <w:vAlign w:val="center"/>
          </w:tcPr>
          <w:p w14:paraId="38D462C5">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台年效率</w:t>
            </w:r>
          </w:p>
        </w:tc>
        <w:tc>
          <w:tcPr>
            <w:tcW w:w="1568" w:type="dxa"/>
            <w:vAlign w:val="center"/>
          </w:tcPr>
          <w:p w14:paraId="32A2F2E0">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万m/台年</w:t>
            </w:r>
          </w:p>
        </w:tc>
        <w:tc>
          <w:tcPr>
            <w:tcW w:w="2230" w:type="dxa"/>
            <w:vAlign w:val="center"/>
          </w:tcPr>
          <w:p w14:paraId="1E2D3B54">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L=S×C×L2</w:t>
            </w:r>
          </w:p>
        </w:tc>
        <w:tc>
          <w:tcPr>
            <w:tcW w:w="1170" w:type="dxa"/>
            <w:vAlign w:val="center"/>
          </w:tcPr>
          <w:p w14:paraId="472321E3">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0.9</w:t>
            </w:r>
          </w:p>
        </w:tc>
      </w:tr>
      <w:tr w14:paraId="05034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2472E0D7">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6</w:t>
            </w:r>
          </w:p>
        </w:tc>
        <w:tc>
          <w:tcPr>
            <w:tcW w:w="2114" w:type="dxa"/>
            <w:vAlign w:val="center"/>
          </w:tcPr>
          <w:p w14:paraId="2A90D2E0">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台阶高度</w:t>
            </w:r>
          </w:p>
        </w:tc>
        <w:tc>
          <w:tcPr>
            <w:tcW w:w="1568" w:type="dxa"/>
            <w:vAlign w:val="center"/>
          </w:tcPr>
          <w:p w14:paraId="25CA585C">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2230" w:type="dxa"/>
            <w:vAlign w:val="center"/>
          </w:tcPr>
          <w:p w14:paraId="0010AC14">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H</w:t>
            </w:r>
          </w:p>
        </w:tc>
        <w:tc>
          <w:tcPr>
            <w:tcW w:w="1170" w:type="dxa"/>
            <w:vAlign w:val="center"/>
          </w:tcPr>
          <w:p w14:paraId="0DF935AF">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10</w:t>
            </w:r>
          </w:p>
        </w:tc>
      </w:tr>
      <w:tr w14:paraId="7D73E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280B1DDF">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7</w:t>
            </w:r>
          </w:p>
        </w:tc>
        <w:tc>
          <w:tcPr>
            <w:tcW w:w="2114" w:type="dxa"/>
            <w:vAlign w:val="center"/>
          </w:tcPr>
          <w:p w14:paraId="236AD24C">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底盘抵抗线</w:t>
            </w:r>
          </w:p>
        </w:tc>
        <w:tc>
          <w:tcPr>
            <w:tcW w:w="1568" w:type="dxa"/>
            <w:vAlign w:val="center"/>
          </w:tcPr>
          <w:p w14:paraId="2F0F8649">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2230" w:type="dxa"/>
            <w:vAlign w:val="center"/>
          </w:tcPr>
          <w:p w14:paraId="6A40EEA4">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W</w:t>
            </w:r>
            <w:r>
              <w:rPr>
                <w:rFonts w:hint="eastAsia" w:asciiTheme="minorEastAsia" w:hAnsiTheme="minorEastAsia" w:eastAsiaTheme="minorEastAsia"/>
                <w:szCs w:val="21"/>
              </w:rPr>
              <w:t>=</w:t>
            </w:r>
            <w:r>
              <w:rPr>
                <w:rFonts w:asciiTheme="minorEastAsia" w:hAnsiTheme="minorEastAsia" w:eastAsiaTheme="minorEastAsia"/>
                <w:szCs w:val="21"/>
              </w:rPr>
              <w:t>0.5H</w:t>
            </w:r>
          </w:p>
        </w:tc>
        <w:tc>
          <w:tcPr>
            <w:tcW w:w="1170" w:type="dxa"/>
            <w:vAlign w:val="center"/>
          </w:tcPr>
          <w:p w14:paraId="5D56F264">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5</w:t>
            </w:r>
          </w:p>
        </w:tc>
      </w:tr>
      <w:tr w14:paraId="254B3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626F1ADF">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8</w:t>
            </w:r>
          </w:p>
        </w:tc>
        <w:tc>
          <w:tcPr>
            <w:tcW w:w="2114" w:type="dxa"/>
            <w:vAlign w:val="center"/>
          </w:tcPr>
          <w:p w14:paraId="1B251EFA">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孔间距</w:t>
            </w:r>
          </w:p>
        </w:tc>
        <w:tc>
          <w:tcPr>
            <w:tcW w:w="1568" w:type="dxa"/>
            <w:vAlign w:val="center"/>
          </w:tcPr>
          <w:p w14:paraId="65D457E3">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2230" w:type="dxa"/>
            <w:vAlign w:val="center"/>
          </w:tcPr>
          <w:p w14:paraId="65B7A89F">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a</w:t>
            </w:r>
            <w:r>
              <w:rPr>
                <w:rFonts w:hint="eastAsia" w:asciiTheme="minorEastAsia" w:hAnsiTheme="minorEastAsia" w:eastAsiaTheme="minorEastAsia"/>
                <w:szCs w:val="21"/>
              </w:rPr>
              <w:t>=W</w:t>
            </w:r>
          </w:p>
        </w:tc>
        <w:tc>
          <w:tcPr>
            <w:tcW w:w="1170" w:type="dxa"/>
            <w:vAlign w:val="center"/>
          </w:tcPr>
          <w:p w14:paraId="31AE971C">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5</w:t>
            </w:r>
          </w:p>
        </w:tc>
      </w:tr>
      <w:tr w14:paraId="20AEB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2627EA2F">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9</w:t>
            </w:r>
          </w:p>
        </w:tc>
        <w:tc>
          <w:tcPr>
            <w:tcW w:w="2114" w:type="dxa"/>
            <w:vAlign w:val="center"/>
          </w:tcPr>
          <w:p w14:paraId="7148530C">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排间距</w:t>
            </w:r>
          </w:p>
        </w:tc>
        <w:tc>
          <w:tcPr>
            <w:tcW w:w="1568" w:type="dxa"/>
            <w:vAlign w:val="center"/>
          </w:tcPr>
          <w:p w14:paraId="329218ED">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2230" w:type="dxa"/>
            <w:vAlign w:val="center"/>
          </w:tcPr>
          <w:p w14:paraId="61CF1248">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b</w:t>
            </w:r>
            <w:r>
              <w:rPr>
                <w:rFonts w:hint="eastAsia" w:asciiTheme="minorEastAsia" w:hAnsiTheme="minorEastAsia" w:eastAsiaTheme="minorEastAsia"/>
                <w:szCs w:val="21"/>
              </w:rPr>
              <w:t>=</w:t>
            </w:r>
            <w:r>
              <w:rPr>
                <w:rFonts w:asciiTheme="minorEastAsia" w:hAnsiTheme="minorEastAsia" w:eastAsiaTheme="minorEastAsia"/>
                <w:szCs w:val="21"/>
              </w:rPr>
              <w:t>asinα</w:t>
            </w:r>
          </w:p>
        </w:tc>
        <w:tc>
          <w:tcPr>
            <w:tcW w:w="1170" w:type="dxa"/>
            <w:vAlign w:val="center"/>
          </w:tcPr>
          <w:p w14:paraId="14798F25">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4.53 </w:t>
            </w:r>
          </w:p>
        </w:tc>
      </w:tr>
      <w:tr w14:paraId="0AEDF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200EE850">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10</w:t>
            </w:r>
          </w:p>
        </w:tc>
        <w:tc>
          <w:tcPr>
            <w:tcW w:w="2114" w:type="dxa"/>
            <w:vAlign w:val="center"/>
          </w:tcPr>
          <w:p w14:paraId="41C826A1">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超深</w:t>
            </w:r>
          </w:p>
        </w:tc>
        <w:tc>
          <w:tcPr>
            <w:tcW w:w="1568" w:type="dxa"/>
            <w:vAlign w:val="center"/>
          </w:tcPr>
          <w:p w14:paraId="7CCB6288">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2230" w:type="dxa"/>
            <w:vAlign w:val="center"/>
          </w:tcPr>
          <w:p w14:paraId="465D2C83">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h1</w:t>
            </w:r>
            <w:r>
              <w:rPr>
                <w:rFonts w:hint="eastAsia" w:asciiTheme="minorEastAsia" w:hAnsiTheme="minorEastAsia" w:eastAsiaTheme="minorEastAsia"/>
                <w:szCs w:val="21"/>
              </w:rPr>
              <w:t>=0.15W</w:t>
            </w:r>
          </w:p>
        </w:tc>
        <w:tc>
          <w:tcPr>
            <w:tcW w:w="1170" w:type="dxa"/>
            <w:vAlign w:val="center"/>
          </w:tcPr>
          <w:p w14:paraId="492DC72C">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0.75</w:t>
            </w:r>
          </w:p>
        </w:tc>
      </w:tr>
      <w:tr w14:paraId="54549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2DA97329">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11</w:t>
            </w:r>
          </w:p>
        </w:tc>
        <w:tc>
          <w:tcPr>
            <w:tcW w:w="2114" w:type="dxa"/>
            <w:vAlign w:val="center"/>
          </w:tcPr>
          <w:p w14:paraId="39A4F905">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炮孔倾角</w:t>
            </w:r>
          </w:p>
        </w:tc>
        <w:tc>
          <w:tcPr>
            <w:tcW w:w="1568" w:type="dxa"/>
            <w:vAlign w:val="center"/>
          </w:tcPr>
          <w:p w14:paraId="3275A8DD">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度</w:t>
            </w:r>
          </w:p>
        </w:tc>
        <w:tc>
          <w:tcPr>
            <w:tcW w:w="2230" w:type="dxa"/>
            <w:vAlign w:val="center"/>
          </w:tcPr>
          <w:p w14:paraId="71420C48">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α</w:t>
            </w:r>
          </w:p>
        </w:tc>
        <w:tc>
          <w:tcPr>
            <w:tcW w:w="1170" w:type="dxa"/>
            <w:vAlign w:val="center"/>
          </w:tcPr>
          <w:p w14:paraId="23434E9A">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65</w:t>
            </w:r>
          </w:p>
        </w:tc>
      </w:tr>
      <w:tr w14:paraId="17CF2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76DE06B4">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12</w:t>
            </w:r>
          </w:p>
        </w:tc>
        <w:tc>
          <w:tcPr>
            <w:tcW w:w="2114" w:type="dxa"/>
            <w:vAlign w:val="center"/>
          </w:tcPr>
          <w:p w14:paraId="1DE8441E">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单孔长度</w:t>
            </w:r>
          </w:p>
        </w:tc>
        <w:tc>
          <w:tcPr>
            <w:tcW w:w="1568" w:type="dxa"/>
            <w:vAlign w:val="center"/>
          </w:tcPr>
          <w:p w14:paraId="63882475">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2230" w:type="dxa"/>
            <w:vAlign w:val="center"/>
          </w:tcPr>
          <w:p w14:paraId="33F33BB2">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h=H/sinα+h1</w:t>
            </w:r>
          </w:p>
        </w:tc>
        <w:tc>
          <w:tcPr>
            <w:tcW w:w="1170" w:type="dxa"/>
            <w:vAlign w:val="center"/>
          </w:tcPr>
          <w:p w14:paraId="2A3354B3">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11.78 </w:t>
            </w:r>
          </w:p>
        </w:tc>
      </w:tr>
      <w:tr w14:paraId="5CE2A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4C7C374C">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13</w:t>
            </w:r>
          </w:p>
        </w:tc>
        <w:tc>
          <w:tcPr>
            <w:tcW w:w="2114" w:type="dxa"/>
            <w:vAlign w:val="center"/>
          </w:tcPr>
          <w:p w14:paraId="7AD6645D">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延米爆破量</w:t>
            </w:r>
          </w:p>
        </w:tc>
        <w:tc>
          <w:tcPr>
            <w:tcW w:w="1568" w:type="dxa"/>
            <w:vAlign w:val="center"/>
          </w:tcPr>
          <w:p w14:paraId="59255DA8">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w:t>
            </w:r>
            <w:r>
              <w:rPr>
                <w:rFonts w:asciiTheme="minorEastAsia" w:hAnsiTheme="minorEastAsia" w:eastAsiaTheme="minorEastAsia"/>
                <w:szCs w:val="21"/>
                <w:vertAlign w:val="superscript"/>
              </w:rPr>
              <w:t>3</w:t>
            </w:r>
            <w:r>
              <w:rPr>
                <w:rFonts w:asciiTheme="minorEastAsia" w:hAnsiTheme="minorEastAsia" w:eastAsiaTheme="minorEastAsia"/>
                <w:szCs w:val="21"/>
              </w:rPr>
              <w:t>/m</w:t>
            </w:r>
          </w:p>
        </w:tc>
        <w:tc>
          <w:tcPr>
            <w:tcW w:w="2230" w:type="dxa"/>
            <w:vAlign w:val="center"/>
          </w:tcPr>
          <w:p w14:paraId="18033F37">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g=W×H×a/h</w:t>
            </w:r>
          </w:p>
        </w:tc>
        <w:tc>
          <w:tcPr>
            <w:tcW w:w="1170" w:type="dxa"/>
            <w:vAlign w:val="center"/>
          </w:tcPr>
          <w:p w14:paraId="797F5B47">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21.22 </w:t>
            </w:r>
          </w:p>
        </w:tc>
      </w:tr>
      <w:tr w14:paraId="62B42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6B2D2836">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14</w:t>
            </w:r>
          </w:p>
        </w:tc>
        <w:tc>
          <w:tcPr>
            <w:tcW w:w="2114" w:type="dxa"/>
            <w:vAlign w:val="center"/>
          </w:tcPr>
          <w:p w14:paraId="31A7E11E">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封孔长度</w:t>
            </w:r>
          </w:p>
        </w:tc>
        <w:tc>
          <w:tcPr>
            <w:tcW w:w="1568" w:type="dxa"/>
            <w:vAlign w:val="center"/>
          </w:tcPr>
          <w:p w14:paraId="2CAC55FF">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2230" w:type="dxa"/>
            <w:vAlign w:val="center"/>
          </w:tcPr>
          <w:p w14:paraId="7A4F9ADA">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h</w:t>
            </w:r>
            <w:r>
              <w:rPr>
                <w:rFonts w:hint="eastAsia" w:asciiTheme="minorEastAsia" w:hAnsiTheme="minorEastAsia" w:eastAsiaTheme="minorEastAsia"/>
                <w:szCs w:val="21"/>
              </w:rPr>
              <w:t>2=0.75W</w:t>
            </w:r>
          </w:p>
        </w:tc>
        <w:tc>
          <w:tcPr>
            <w:tcW w:w="1170" w:type="dxa"/>
            <w:vAlign w:val="center"/>
          </w:tcPr>
          <w:p w14:paraId="0B1303B3">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3.75</w:t>
            </w:r>
          </w:p>
        </w:tc>
      </w:tr>
      <w:tr w14:paraId="64080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22FF7545">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5</w:t>
            </w:r>
          </w:p>
        </w:tc>
        <w:tc>
          <w:tcPr>
            <w:tcW w:w="2114" w:type="dxa"/>
            <w:vAlign w:val="center"/>
          </w:tcPr>
          <w:p w14:paraId="56A3657E">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装药长度</w:t>
            </w:r>
          </w:p>
        </w:tc>
        <w:tc>
          <w:tcPr>
            <w:tcW w:w="1568" w:type="dxa"/>
            <w:vAlign w:val="center"/>
          </w:tcPr>
          <w:p w14:paraId="60D4AA2D">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2230" w:type="dxa"/>
            <w:vAlign w:val="center"/>
          </w:tcPr>
          <w:p w14:paraId="78EF0762">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h</w:t>
            </w:r>
            <w:r>
              <w:rPr>
                <w:rFonts w:hint="eastAsia" w:asciiTheme="minorEastAsia" w:hAnsiTheme="minorEastAsia" w:eastAsiaTheme="minorEastAsia"/>
                <w:szCs w:val="21"/>
              </w:rPr>
              <w:t>3</w:t>
            </w:r>
            <w:r>
              <w:rPr>
                <w:rFonts w:asciiTheme="minorEastAsia" w:hAnsiTheme="minorEastAsia" w:eastAsiaTheme="minorEastAsia"/>
                <w:szCs w:val="21"/>
              </w:rPr>
              <w:t>=</w:t>
            </w:r>
            <w:r>
              <w:rPr>
                <w:rFonts w:hint="eastAsia" w:asciiTheme="minorEastAsia" w:hAnsiTheme="minorEastAsia" w:eastAsiaTheme="minorEastAsia"/>
                <w:szCs w:val="21"/>
              </w:rPr>
              <w:t>h</w:t>
            </w:r>
            <w:r>
              <w:rPr>
                <w:rFonts w:asciiTheme="minorEastAsia" w:hAnsiTheme="minorEastAsia" w:eastAsiaTheme="minorEastAsia"/>
                <w:szCs w:val="21"/>
              </w:rPr>
              <w:t>-h</w:t>
            </w:r>
            <w:r>
              <w:rPr>
                <w:rFonts w:hint="eastAsia" w:asciiTheme="minorEastAsia" w:hAnsiTheme="minorEastAsia" w:eastAsiaTheme="minorEastAsia"/>
                <w:szCs w:val="21"/>
              </w:rPr>
              <w:t>2</w:t>
            </w:r>
          </w:p>
        </w:tc>
        <w:tc>
          <w:tcPr>
            <w:tcW w:w="1170" w:type="dxa"/>
            <w:vAlign w:val="center"/>
          </w:tcPr>
          <w:p w14:paraId="76785771">
            <w:pPr>
              <w:spacing w:line="276" w:lineRule="auto"/>
              <w:jc w:val="center"/>
              <w:rPr>
                <w:rFonts w:asciiTheme="minorEastAsia" w:hAnsiTheme="minorEastAsia" w:eastAsiaTheme="minorEastAsia"/>
                <w:color w:val="000000"/>
                <w:szCs w:val="21"/>
              </w:rPr>
            </w:pPr>
            <w:r>
              <w:rPr>
                <w:rFonts w:hint="eastAsia" w:asciiTheme="minorEastAsia" w:hAnsiTheme="minorEastAsia" w:eastAsiaTheme="minorEastAsia"/>
                <w:color w:val="000000"/>
                <w:szCs w:val="21"/>
              </w:rPr>
              <w:t>8.03</w:t>
            </w:r>
          </w:p>
        </w:tc>
      </w:tr>
      <w:tr w14:paraId="199CD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382945DD">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6</w:t>
            </w:r>
          </w:p>
        </w:tc>
        <w:tc>
          <w:tcPr>
            <w:tcW w:w="2114" w:type="dxa"/>
            <w:vAlign w:val="center"/>
          </w:tcPr>
          <w:p w14:paraId="7D3FC04A">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单孔装药量</w:t>
            </w:r>
          </w:p>
        </w:tc>
        <w:tc>
          <w:tcPr>
            <w:tcW w:w="1568" w:type="dxa"/>
            <w:vAlign w:val="center"/>
          </w:tcPr>
          <w:p w14:paraId="5E259272">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kg</w:t>
            </w:r>
          </w:p>
        </w:tc>
        <w:tc>
          <w:tcPr>
            <w:tcW w:w="2230" w:type="dxa"/>
            <w:vAlign w:val="center"/>
          </w:tcPr>
          <w:p w14:paraId="6EBA81D7">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Q=qaHW</w:t>
            </w:r>
          </w:p>
        </w:tc>
        <w:tc>
          <w:tcPr>
            <w:tcW w:w="1170" w:type="dxa"/>
            <w:vAlign w:val="center"/>
          </w:tcPr>
          <w:p w14:paraId="1A994090">
            <w:pPr>
              <w:spacing w:line="276" w:lineRule="auto"/>
              <w:jc w:val="center"/>
              <w:rPr>
                <w:rFonts w:asciiTheme="minorEastAsia" w:hAnsiTheme="minorEastAsia" w:eastAsiaTheme="minorEastAsia"/>
                <w:color w:val="000000"/>
                <w:szCs w:val="21"/>
              </w:rPr>
            </w:pPr>
            <w:r>
              <w:rPr>
                <w:rFonts w:hint="eastAsia" w:asciiTheme="minorEastAsia" w:hAnsiTheme="minorEastAsia" w:eastAsiaTheme="minorEastAsia"/>
                <w:color w:val="000000"/>
                <w:szCs w:val="21"/>
              </w:rPr>
              <w:t>137.5</w:t>
            </w:r>
          </w:p>
        </w:tc>
      </w:tr>
      <w:tr w14:paraId="10805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0AA90549">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7</w:t>
            </w:r>
          </w:p>
        </w:tc>
        <w:tc>
          <w:tcPr>
            <w:tcW w:w="2114" w:type="dxa"/>
            <w:vAlign w:val="center"/>
          </w:tcPr>
          <w:p w14:paraId="76BC8259">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废孔率</w:t>
            </w:r>
          </w:p>
        </w:tc>
        <w:tc>
          <w:tcPr>
            <w:tcW w:w="1568" w:type="dxa"/>
            <w:vAlign w:val="center"/>
          </w:tcPr>
          <w:p w14:paraId="4AD431A0">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w:t>
            </w:r>
          </w:p>
        </w:tc>
        <w:tc>
          <w:tcPr>
            <w:tcW w:w="2230" w:type="dxa"/>
            <w:vAlign w:val="center"/>
          </w:tcPr>
          <w:p w14:paraId="5B059082">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η</w:t>
            </w:r>
          </w:p>
        </w:tc>
        <w:tc>
          <w:tcPr>
            <w:tcW w:w="1170" w:type="dxa"/>
            <w:vAlign w:val="center"/>
          </w:tcPr>
          <w:p w14:paraId="149B3398">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5</w:t>
            </w:r>
          </w:p>
        </w:tc>
      </w:tr>
      <w:tr w14:paraId="182C3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0AE465F4">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18</w:t>
            </w:r>
          </w:p>
        </w:tc>
        <w:tc>
          <w:tcPr>
            <w:tcW w:w="2114" w:type="dxa"/>
            <w:vAlign w:val="center"/>
          </w:tcPr>
          <w:p w14:paraId="7E8C1177">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台年穿孔效率</w:t>
            </w:r>
          </w:p>
        </w:tc>
        <w:tc>
          <w:tcPr>
            <w:tcW w:w="1568" w:type="dxa"/>
            <w:vAlign w:val="center"/>
          </w:tcPr>
          <w:p w14:paraId="5B13164F">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万m</w:t>
            </w:r>
            <w:r>
              <w:rPr>
                <w:rFonts w:asciiTheme="minorEastAsia" w:hAnsiTheme="minorEastAsia" w:eastAsiaTheme="minorEastAsia"/>
                <w:szCs w:val="21"/>
                <w:vertAlign w:val="superscript"/>
              </w:rPr>
              <w:t>3</w:t>
            </w:r>
            <w:r>
              <w:rPr>
                <w:rFonts w:asciiTheme="minorEastAsia" w:hAnsiTheme="minorEastAsia" w:eastAsiaTheme="minorEastAsia"/>
                <w:szCs w:val="21"/>
              </w:rPr>
              <w:t>/台年</w:t>
            </w:r>
          </w:p>
        </w:tc>
        <w:tc>
          <w:tcPr>
            <w:tcW w:w="2230" w:type="dxa"/>
            <w:vAlign w:val="center"/>
          </w:tcPr>
          <w:p w14:paraId="5919CFEB">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Q1=L×g×</w:t>
            </w:r>
            <w:r>
              <w:rPr>
                <w:rFonts w:hint="eastAsia" w:asciiTheme="minorEastAsia" w:hAnsiTheme="minorEastAsia" w:eastAsiaTheme="minorEastAsia"/>
                <w:szCs w:val="21"/>
              </w:rPr>
              <w:t>(</w:t>
            </w:r>
            <w:r>
              <w:rPr>
                <w:rFonts w:asciiTheme="minorEastAsia" w:hAnsiTheme="minorEastAsia" w:eastAsiaTheme="minorEastAsia"/>
                <w:szCs w:val="21"/>
              </w:rPr>
              <w:t>1-η</w:t>
            </w:r>
            <w:r>
              <w:rPr>
                <w:rFonts w:hint="eastAsia" w:asciiTheme="minorEastAsia" w:hAnsiTheme="minorEastAsia" w:eastAsiaTheme="minorEastAsia"/>
                <w:szCs w:val="21"/>
              </w:rPr>
              <w:t>)</w:t>
            </w:r>
          </w:p>
        </w:tc>
        <w:tc>
          <w:tcPr>
            <w:tcW w:w="1170" w:type="dxa"/>
            <w:vAlign w:val="center"/>
          </w:tcPr>
          <w:p w14:paraId="25555214">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18.14 </w:t>
            </w:r>
          </w:p>
        </w:tc>
      </w:tr>
      <w:tr w14:paraId="33BAC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52DFF124">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19</w:t>
            </w:r>
          </w:p>
        </w:tc>
        <w:tc>
          <w:tcPr>
            <w:tcW w:w="2114" w:type="dxa"/>
            <w:vAlign w:val="center"/>
          </w:tcPr>
          <w:p w14:paraId="44C50F65">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年担负量</w:t>
            </w:r>
          </w:p>
        </w:tc>
        <w:tc>
          <w:tcPr>
            <w:tcW w:w="1568" w:type="dxa"/>
            <w:vAlign w:val="center"/>
          </w:tcPr>
          <w:p w14:paraId="756444B5">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万m</w:t>
            </w:r>
            <w:r>
              <w:rPr>
                <w:rFonts w:asciiTheme="minorEastAsia" w:hAnsiTheme="minorEastAsia" w:eastAsiaTheme="minorEastAsia"/>
                <w:szCs w:val="21"/>
                <w:vertAlign w:val="superscript"/>
              </w:rPr>
              <w:t>3</w:t>
            </w:r>
          </w:p>
        </w:tc>
        <w:tc>
          <w:tcPr>
            <w:tcW w:w="2230" w:type="dxa"/>
            <w:vAlign w:val="center"/>
          </w:tcPr>
          <w:p w14:paraId="2BF7231C">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Q</w:t>
            </w:r>
          </w:p>
        </w:tc>
        <w:tc>
          <w:tcPr>
            <w:tcW w:w="1170" w:type="dxa"/>
            <w:vAlign w:val="center"/>
          </w:tcPr>
          <w:p w14:paraId="211523B2">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40</w:t>
            </w:r>
          </w:p>
        </w:tc>
      </w:tr>
      <w:tr w14:paraId="75AC0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3A8A3773">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20</w:t>
            </w:r>
          </w:p>
        </w:tc>
        <w:tc>
          <w:tcPr>
            <w:tcW w:w="2114" w:type="dxa"/>
            <w:vAlign w:val="center"/>
          </w:tcPr>
          <w:p w14:paraId="377A05DE">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计算台数</w:t>
            </w:r>
          </w:p>
        </w:tc>
        <w:tc>
          <w:tcPr>
            <w:tcW w:w="1568" w:type="dxa"/>
            <w:vAlign w:val="center"/>
          </w:tcPr>
          <w:p w14:paraId="0F3325D8">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台</w:t>
            </w:r>
          </w:p>
        </w:tc>
        <w:tc>
          <w:tcPr>
            <w:tcW w:w="2230" w:type="dxa"/>
            <w:vAlign w:val="center"/>
          </w:tcPr>
          <w:p w14:paraId="0CBE55C8">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M=Q/Q1</w:t>
            </w:r>
          </w:p>
        </w:tc>
        <w:tc>
          <w:tcPr>
            <w:tcW w:w="1170" w:type="dxa"/>
            <w:vAlign w:val="center"/>
          </w:tcPr>
          <w:p w14:paraId="55B0B7BA">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2.21 </w:t>
            </w:r>
          </w:p>
        </w:tc>
      </w:tr>
      <w:tr w14:paraId="3C467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vAlign w:val="center"/>
          </w:tcPr>
          <w:p w14:paraId="7C59F860">
            <w:pPr>
              <w:spacing w:line="276" w:lineRule="auto"/>
              <w:jc w:val="center"/>
              <w:rPr>
                <w:rFonts w:asciiTheme="minorEastAsia" w:hAnsiTheme="minorEastAsia" w:eastAsiaTheme="minorEastAsia"/>
                <w:szCs w:val="21"/>
              </w:rPr>
            </w:pPr>
          </w:p>
        </w:tc>
        <w:tc>
          <w:tcPr>
            <w:tcW w:w="2114" w:type="dxa"/>
            <w:vAlign w:val="center"/>
          </w:tcPr>
          <w:p w14:paraId="16C98F2D">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合计</w:t>
            </w:r>
          </w:p>
        </w:tc>
        <w:tc>
          <w:tcPr>
            <w:tcW w:w="1568" w:type="dxa"/>
            <w:vAlign w:val="center"/>
          </w:tcPr>
          <w:p w14:paraId="53C6FC42">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台</w:t>
            </w:r>
          </w:p>
        </w:tc>
        <w:tc>
          <w:tcPr>
            <w:tcW w:w="2230" w:type="dxa"/>
            <w:vAlign w:val="center"/>
          </w:tcPr>
          <w:p w14:paraId="35C1158B">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备用1台</w:t>
            </w:r>
          </w:p>
        </w:tc>
        <w:tc>
          <w:tcPr>
            <w:tcW w:w="1170" w:type="dxa"/>
            <w:vAlign w:val="center"/>
          </w:tcPr>
          <w:p w14:paraId="44A0E3DF">
            <w:pPr>
              <w:spacing w:line="276" w:lineRule="auto"/>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w:t>
            </w:r>
          </w:p>
        </w:tc>
      </w:tr>
    </w:tbl>
    <w:p w14:paraId="1947080C">
      <w:pPr>
        <w:tabs>
          <w:tab w:val="left" w:pos="4320"/>
        </w:tabs>
        <w:spacing w:beforeLines="50"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设计每个阶段全部采用中深孔一次爆破，炮孔孔向布置与台阶坡面近平行，炮孔超深0.75m，单孔孔深11.78m，炮孔网度为5.0×4.53m。使用矿山许用炸药，人工填药，炮孔填塞长度3.75m，装药长度8.03m，炸药单耗（q）0.35～0.6kg/m</w:t>
      </w:r>
      <w:r>
        <w:rPr>
          <w:rFonts w:hint="eastAsia" w:asciiTheme="minorEastAsia" w:hAnsiTheme="minorEastAsia" w:eastAsiaTheme="minorEastAsia"/>
          <w:sz w:val="28"/>
          <w:szCs w:val="28"/>
          <w:vertAlign w:val="superscript"/>
        </w:rPr>
        <w:t>3</w:t>
      </w:r>
      <w:r>
        <w:rPr>
          <w:rFonts w:hint="eastAsia" w:asciiTheme="minorEastAsia" w:hAnsiTheme="minorEastAsia" w:eastAsiaTheme="minorEastAsia"/>
          <w:sz w:val="28"/>
          <w:szCs w:val="28"/>
        </w:rPr>
        <w:t>。</w:t>
      </w:r>
    </w:p>
    <w:p w14:paraId="0276DFEA">
      <w:pPr>
        <w:tabs>
          <w:tab w:val="left" w:pos="4320"/>
        </w:tabs>
        <w:spacing w:line="360" w:lineRule="auto"/>
        <w:ind w:firstLine="560" w:firstLineChars="200"/>
        <w:rPr>
          <w:rFonts w:asciiTheme="minorEastAsia" w:hAnsiTheme="minorEastAsia" w:eastAsiaTheme="minorEastAsia"/>
          <w:sz w:val="28"/>
          <w:szCs w:val="28"/>
        </w:rPr>
      </w:pPr>
      <w:r>
        <w:rPr>
          <w:rFonts w:hint="eastAsia" w:cs="宋体" w:asciiTheme="minorEastAsia" w:hAnsiTheme="minorEastAsia" w:eastAsiaTheme="minorEastAsia"/>
          <w:sz w:val="28"/>
          <w:szCs w:val="28"/>
        </w:rPr>
        <w:t>采用数码电子雷管逐孔起爆网路，采用孔间微差爆破提高爆破效果。起爆顺序为逐孔依次起爆，击发器—&gt;起爆连接线—&gt;数码电子雷管—&gt;矿山许用炸药—&gt;完成爆破。</w:t>
      </w:r>
      <w:r>
        <w:rPr>
          <w:rFonts w:hint="eastAsia" w:asciiTheme="minorEastAsia" w:hAnsiTheme="minorEastAsia" w:eastAsiaTheme="minorEastAsia"/>
          <w:sz w:val="28"/>
          <w:szCs w:val="28"/>
        </w:rPr>
        <w:t>对爆破后产生的大块矿石，严禁进行二次穿孔爆破，必须由液压破碎锤进行二次破碎。</w:t>
      </w:r>
    </w:p>
    <w:p w14:paraId="7BA22AFA">
      <w:pPr>
        <w:tabs>
          <w:tab w:val="left" w:pos="4320"/>
        </w:tabs>
        <w:spacing w:line="360" w:lineRule="auto"/>
        <w:jc w:val="center"/>
        <w:rPr>
          <w:rFonts w:asciiTheme="minorEastAsia" w:hAnsiTheme="minorEastAsia" w:eastAsiaTheme="minorEastAsia"/>
          <w:sz w:val="28"/>
          <w:szCs w:val="28"/>
        </w:rPr>
      </w:pPr>
      <w:r>
        <w:rPr>
          <w:rFonts w:asciiTheme="minorEastAsia" w:hAnsiTheme="minorEastAsia" w:eastAsiaTheme="minorEastAsia"/>
          <w:sz w:val="28"/>
          <w:szCs w:val="28"/>
        </w:rPr>
        <w:drawing>
          <wp:inline distT="0" distB="0" distL="114300" distR="114300">
            <wp:extent cx="4972050" cy="2495550"/>
            <wp:effectExtent l="19050" t="19050" r="19050" b="19050"/>
            <wp:docPr id="32" name="图片 6" descr="1745466446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6" descr="1745466446703"/>
                    <pic:cNvPicPr>
                      <a:picLocks noChangeAspect="1"/>
                    </pic:cNvPicPr>
                  </pic:nvPicPr>
                  <pic:blipFill>
                    <a:blip r:embed="rId17"/>
                    <a:srcRect r="2646" b="4379"/>
                    <a:stretch>
                      <a:fillRect/>
                    </a:stretch>
                  </pic:blipFill>
                  <pic:spPr>
                    <a:xfrm>
                      <a:off x="0" y="0"/>
                      <a:ext cx="4972050" cy="2495550"/>
                    </a:xfrm>
                    <a:prstGeom prst="rect">
                      <a:avLst/>
                    </a:prstGeom>
                    <a:noFill/>
                    <a:ln w="6350">
                      <a:solidFill>
                        <a:schemeClr val="tx1"/>
                      </a:solidFill>
                    </a:ln>
                  </pic:spPr>
                </pic:pic>
              </a:graphicData>
            </a:graphic>
          </wp:inline>
        </w:drawing>
      </w:r>
    </w:p>
    <w:p w14:paraId="24C16102">
      <w:pPr>
        <w:tabs>
          <w:tab w:val="left" w:pos="4320"/>
        </w:tabs>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图4-1  爆破起爆顺序及联结方式示意图</w:t>
      </w:r>
    </w:p>
    <w:p w14:paraId="6E1F37D0">
      <w:pPr>
        <w:tabs>
          <w:tab w:val="left" w:pos="4320"/>
        </w:tabs>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穿爆工作临近最终边坡时，后排孔应采用预裂爆破技术，预裂爆破应先于主药包起爆，其时间差要保证人造断层的形成，一般应大于50ms。并降低单段爆破炸药量，尽可能降低爆破效应对边坡的破坏作用，并形成较平整的台阶坡面。</w:t>
      </w:r>
    </w:p>
    <w:p w14:paraId="76E631F3">
      <w:pPr>
        <w:spacing w:line="360" w:lineRule="auto"/>
        <w:ind w:firstLine="630" w:firstLineChars="225"/>
        <w:rPr>
          <w:sz w:val="28"/>
          <w:szCs w:val="28"/>
        </w:rPr>
      </w:pPr>
      <w:r>
        <w:rPr>
          <w:rFonts w:hint="eastAsia" w:ascii="宋体" w:hAnsi="宋体"/>
          <w:kern w:val="0"/>
          <w:sz w:val="28"/>
          <w:szCs w:val="28"/>
        </w:rPr>
        <w:t>2、</w:t>
      </w:r>
      <w:r>
        <w:rPr>
          <w:rFonts w:hint="eastAsia" w:hAnsi="宋体"/>
          <w:sz w:val="28"/>
          <w:szCs w:val="28"/>
        </w:rPr>
        <w:t>装载运输</w:t>
      </w:r>
    </w:p>
    <w:p w14:paraId="6EF523AD">
      <w:pPr>
        <w:adjustRightInd w:val="0"/>
        <w:snapToGrid w:val="0"/>
        <w:spacing w:line="360" w:lineRule="auto"/>
        <w:ind w:firstLine="560" w:firstLineChars="200"/>
        <w:rPr>
          <w:rFonts w:ascii="宋体" w:hAnsi="宋体"/>
          <w:kern w:val="0"/>
          <w:sz w:val="28"/>
          <w:szCs w:val="28"/>
        </w:rPr>
      </w:pPr>
      <w:r>
        <w:rPr>
          <w:rFonts w:hint="eastAsia" w:ascii="宋体" w:hAnsi="宋体"/>
          <w:kern w:val="0"/>
          <w:sz w:val="28"/>
          <w:szCs w:val="28"/>
        </w:rPr>
        <w:t>根据矿山生产能力，</w:t>
      </w:r>
      <w:r>
        <w:rPr>
          <w:rFonts w:hint="eastAsia" w:ascii="宋体" w:hAnsi="宋体" w:cs="宋体"/>
          <w:sz w:val="28"/>
          <w:szCs w:val="28"/>
        </w:rPr>
        <w:t>合理考虑设备铲装比及其作业参数，</w:t>
      </w:r>
      <w:r>
        <w:rPr>
          <w:rFonts w:hint="eastAsia"/>
          <w:sz w:val="28"/>
          <w:szCs w:val="28"/>
        </w:rPr>
        <w:t>与台阶高度和运输设备等配套，</w:t>
      </w:r>
      <w:r>
        <w:rPr>
          <w:rFonts w:hint="eastAsia" w:ascii="宋体" w:hAnsi="宋体"/>
          <w:kern w:val="0"/>
          <w:sz w:val="28"/>
          <w:szCs w:val="28"/>
        </w:rPr>
        <w:t>设计采用挖掘机单斗-自卸卡车间断式作业方式，选用卡特340D2L型液压挖掘机</w:t>
      </w:r>
      <w:r>
        <w:rPr>
          <w:rFonts w:hint="eastAsia" w:ascii="宋体" w:hAnsi="宋体"/>
          <w:sz w:val="28"/>
          <w:szCs w:val="28"/>
        </w:rPr>
        <w:t>用于剥离和采矿，</w:t>
      </w:r>
      <w:r>
        <w:rPr>
          <w:rFonts w:hint="eastAsia" w:ascii="宋体" w:hAnsi="宋体" w:cs="宋体"/>
          <w:sz w:val="28"/>
          <w:szCs w:val="28"/>
        </w:rPr>
        <w:t>选用欧曼GTL 25t</w:t>
      </w:r>
      <w:r>
        <w:rPr>
          <w:rFonts w:ascii="宋体" w:hAnsi="宋体" w:cs="宋体"/>
          <w:sz w:val="28"/>
          <w:szCs w:val="28"/>
        </w:rPr>
        <w:t>自卸汽车装载</w:t>
      </w:r>
      <w:r>
        <w:rPr>
          <w:rFonts w:hint="eastAsia" w:ascii="宋体" w:hAnsi="宋体" w:cs="宋体"/>
          <w:sz w:val="28"/>
          <w:szCs w:val="28"/>
        </w:rPr>
        <w:t>运输矿岩。主要设备</w:t>
      </w:r>
      <w:r>
        <w:rPr>
          <w:rFonts w:hint="eastAsia" w:ascii="宋体" w:hAnsi="宋体"/>
          <w:sz w:val="28"/>
          <w:szCs w:val="28"/>
        </w:rPr>
        <w:t>具体参数如下表：</w:t>
      </w:r>
    </w:p>
    <w:p w14:paraId="6EECEC65">
      <w:pPr>
        <w:pStyle w:val="15"/>
        <w:kinsoku w:val="0"/>
        <w:overflowPunct w:val="0"/>
        <w:spacing w:beforeLines="100" w:line="360" w:lineRule="auto"/>
        <w:jc w:val="center"/>
        <w:rPr>
          <w:rFonts w:asciiTheme="minorEastAsia" w:hAnsiTheme="minorEastAsia" w:eastAsiaTheme="minorEastAsia"/>
          <w:b/>
          <w:bCs/>
          <w:szCs w:val="21"/>
        </w:rPr>
      </w:pPr>
      <w:r>
        <w:rPr>
          <w:rFonts w:hint="eastAsia" w:asciiTheme="minorEastAsia" w:hAnsiTheme="minorEastAsia" w:eastAsiaTheme="minorEastAsia"/>
          <w:b/>
          <w:szCs w:val="21"/>
        </w:rPr>
        <w:t>表</w:t>
      </w:r>
      <w:r>
        <w:rPr>
          <w:rFonts w:asciiTheme="minorEastAsia" w:hAnsiTheme="minorEastAsia" w:eastAsiaTheme="minorEastAsia"/>
          <w:b/>
          <w:spacing w:val="1"/>
          <w:szCs w:val="21"/>
        </w:rPr>
        <w:t>4-</w:t>
      </w:r>
      <w:r>
        <w:rPr>
          <w:rFonts w:hint="eastAsia" w:asciiTheme="minorEastAsia" w:hAnsiTheme="minorEastAsia" w:eastAsiaTheme="minorEastAsia"/>
          <w:b/>
          <w:spacing w:val="1"/>
          <w:szCs w:val="21"/>
        </w:rPr>
        <w:t>5</w:t>
      </w:r>
      <w:r>
        <w:rPr>
          <w:rFonts w:hint="eastAsia" w:asciiTheme="minorEastAsia" w:hAnsiTheme="minorEastAsia" w:eastAsiaTheme="minorEastAsia"/>
          <w:b/>
          <w:szCs w:val="21"/>
        </w:rPr>
        <w:t>卡特彼勒</w:t>
      </w:r>
      <w:r>
        <w:rPr>
          <w:rFonts w:asciiTheme="minorEastAsia" w:hAnsiTheme="minorEastAsia" w:eastAsiaTheme="minorEastAsia"/>
          <w:b/>
          <w:szCs w:val="21"/>
        </w:rPr>
        <w:t>340D2L</w:t>
      </w:r>
      <w:r>
        <w:rPr>
          <w:rFonts w:hint="eastAsia" w:asciiTheme="minorEastAsia" w:hAnsiTheme="minorEastAsia" w:eastAsiaTheme="minorEastAsia"/>
          <w:b/>
          <w:szCs w:val="21"/>
        </w:rPr>
        <w:t>型液压挖掘机性能参数表</w:t>
      </w:r>
    </w:p>
    <w:tbl>
      <w:tblPr>
        <w:tblStyle w:val="42"/>
        <w:tblW w:w="0" w:type="auto"/>
        <w:jc w:val="center"/>
        <w:tblLayout w:type="fixed"/>
        <w:tblCellMar>
          <w:top w:w="0" w:type="dxa"/>
          <w:left w:w="0" w:type="dxa"/>
          <w:bottom w:w="0" w:type="dxa"/>
          <w:right w:w="0" w:type="dxa"/>
        </w:tblCellMar>
      </w:tblPr>
      <w:tblGrid>
        <w:gridCol w:w="1174"/>
        <w:gridCol w:w="1094"/>
        <w:gridCol w:w="1276"/>
        <w:gridCol w:w="992"/>
        <w:gridCol w:w="1085"/>
        <w:gridCol w:w="1016"/>
        <w:gridCol w:w="1176"/>
        <w:gridCol w:w="816"/>
      </w:tblGrid>
      <w:tr w14:paraId="08B27FA5">
        <w:tblPrEx>
          <w:tblCellMar>
            <w:top w:w="0" w:type="dxa"/>
            <w:left w:w="0" w:type="dxa"/>
            <w:bottom w:w="0" w:type="dxa"/>
            <w:right w:w="0" w:type="dxa"/>
          </w:tblCellMar>
        </w:tblPrEx>
        <w:trPr>
          <w:trHeight w:val="20" w:hRule="atLeast"/>
          <w:jc w:val="center"/>
        </w:trPr>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10F23DF6">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z w:val="21"/>
                <w:szCs w:val="21"/>
              </w:rPr>
              <w:t>规格</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44D3F197">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z w:val="21"/>
                <w:szCs w:val="21"/>
              </w:rPr>
              <w:t>性能</w:t>
            </w:r>
          </w:p>
        </w:tc>
        <w:tc>
          <w:tcPr>
            <w:tcW w:w="2101" w:type="dxa"/>
            <w:gridSpan w:val="2"/>
            <w:tcBorders>
              <w:top w:val="single" w:color="000000" w:sz="4" w:space="0"/>
              <w:left w:val="single" w:color="000000" w:sz="4" w:space="0"/>
              <w:bottom w:val="single" w:color="000000" w:sz="4" w:space="0"/>
              <w:right w:val="single" w:color="000000" w:sz="4" w:space="0"/>
            </w:tcBorders>
            <w:vAlign w:val="center"/>
          </w:tcPr>
          <w:p w14:paraId="4CC6F598">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z w:val="21"/>
                <w:szCs w:val="21"/>
              </w:rPr>
              <w:t>主体尺寸</w:t>
            </w:r>
          </w:p>
        </w:tc>
        <w:tc>
          <w:tcPr>
            <w:tcW w:w="1992" w:type="dxa"/>
            <w:gridSpan w:val="2"/>
            <w:tcBorders>
              <w:top w:val="single" w:color="000000" w:sz="4" w:space="0"/>
              <w:left w:val="single" w:color="000000" w:sz="4" w:space="0"/>
              <w:bottom w:val="single" w:color="000000" w:sz="4" w:space="0"/>
              <w:right w:val="single" w:color="000000" w:sz="4" w:space="0"/>
            </w:tcBorders>
            <w:vAlign w:val="center"/>
          </w:tcPr>
          <w:p w14:paraId="1F3F6FD4">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z w:val="21"/>
                <w:szCs w:val="21"/>
              </w:rPr>
              <w:t>作业范围</w:t>
            </w:r>
          </w:p>
        </w:tc>
      </w:tr>
      <w:tr w14:paraId="2599D077">
        <w:tblPrEx>
          <w:tblCellMar>
            <w:top w:w="0" w:type="dxa"/>
            <w:left w:w="0" w:type="dxa"/>
            <w:bottom w:w="0" w:type="dxa"/>
            <w:right w:w="0" w:type="dxa"/>
          </w:tblCellMar>
        </w:tblPrEx>
        <w:trPr>
          <w:trHeight w:val="20" w:hRule="atLeast"/>
          <w:jc w:val="center"/>
        </w:trPr>
        <w:tc>
          <w:tcPr>
            <w:tcW w:w="1174" w:type="dxa"/>
            <w:tcBorders>
              <w:top w:val="single" w:color="000000" w:sz="4" w:space="0"/>
              <w:left w:val="single" w:color="000000" w:sz="4" w:space="0"/>
              <w:bottom w:val="single" w:color="000000" w:sz="4" w:space="0"/>
              <w:right w:val="single" w:color="000000" w:sz="4" w:space="0"/>
            </w:tcBorders>
            <w:vAlign w:val="center"/>
          </w:tcPr>
          <w:p w14:paraId="630C30A1">
            <w:pPr>
              <w:pStyle w:val="121"/>
              <w:kinsoku w:val="0"/>
              <w:overflowPunct w:val="0"/>
              <w:adjustRightInd/>
              <w:jc w:val="center"/>
              <w:rPr>
                <w:rFonts w:asciiTheme="minorEastAsia" w:hAnsiTheme="minorEastAsia" w:eastAsiaTheme="minorEastAsia"/>
                <w:sz w:val="21"/>
                <w:szCs w:val="21"/>
              </w:rPr>
            </w:pPr>
            <w:r>
              <w:rPr>
                <w:rFonts w:hint="eastAsia" w:cs="宋体" w:asciiTheme="minorEastAsia" w:hAnsiTheme="minorEastAsia" w:eastAsiaTheme="minorEastAsia"/>
                <w:sz w:val="21"/>
                <w:szCs w:val="21"/>
              </w:rPr>
              <w:t>整机工作重量</w:t>
            </w:r>
            <w:r>
              <w:rPr>
                <w:rFonts w:cs="宋体" w:asciiTheme="minorEastAsia" w:hAnsiTheme="minorEastAsia" w:eastAsiaTheme="minorEastAsia"/>
                <w:sz w:val="21"/>
                <w:szCs w:val="21"/>
              </w:rPr>
              <w:t xml:space="preserve"> (kg):</w:t>
            </w:r>
          </w:p>
        </w:tc>
        <w:tc>
          <w:tcPr>
            <w:tcW w:w="1094" w:type="dxa"/>
            <w:tcBorders>
              <w:top w:val="single" w:color="000000" w:sz="4" w:space="0"/>
              <w:left w:val="single" w:color="000000" w:sz="4" w:space="0"/>
              <w:bottom w:val="single" w:color="000000" w:sz="4" w:space="0"/>
              <w:right w:val="single" w:color="000000" w:sz="4" w:space="0"/>
            </w:tcBorders>
            <w:vAlign w:val="center"/>
          </w:tcPr>
          <w:p w14:paraId="141D4EB8">
            <w:pPr>
              <w:pStyle w:val="121"/>
              <w:kinsoku w:val="0"/>
              <w:overflowPunct w:val="0"/>
              <w:adjustRightInd/>
              <w:jc w:val="center"/>
              <w:rPr>
                <w:rFonts w:asciiTheme="minorEastAsia" w:hAnsiTheme="minorEastAsia" w:eastAsiaTheme="minorEastAsia"/>
                <w:sz w:val="21"/>
                <w:szCs w:val="21"/>
              </w:rPr>
            </w:pPr>
            <w:r>
              <w:rPr>
                <w:rFonts w:cs="宋体" w:asciiTheme="minorEastAsia" w:hAnsiTheme="minorEastAsia" w:eastAsiaTheme="minorEastAsia"/>
                <w:sz w:val="21"/>
                <w:szCs w:val="21"/>
              </w:rPr>
              <w:t>38900</w:t>
            </w:r>
          </w:p>
        </w:tc>
        <w:tc>
          <w:tcPr>
            <w:tcW w:w="1276" w:type="dxa"/>
            <w:tcBorders>
              <w:top w:val="single" w:color="000000" w:sz="4" w:space="0"/>
              <w:left w:val="single" w:color="000000" w:sz="4" w:space="0"/>
              <w:bottom w:val="single" w:color="000000" w:sz="4" w:space="0"/>
              <w:right w:val="single" w:color="000000" w:sz="4" w:space="0"/>
            </w:tcBorders>
            <w:vAlign w:val="center"/>
          </w:tcPr>
          <w:p w14:paraId="2CFED049">
            <w:pPr>
              <w:pStyle w:val="121"/>
              <w:kinsoku w:val="0"/>
              <w:overflowPunct w:val="0"/>
              <w:adjustRightInd/>
              <w:jc w:val="center"/>
              <w:rPr>
                <w:rFonts w:asciiTheme="minorEastAsia" w:hAnsiTheme="minorEastAsia" w:eastAsiaTheme="minorEastAsia"/>
                <w:sz w:val="21"/>
                <w:szCs w:val="21"/>
              </w:rPr>
            </w:pPr>
            <w:r>
              <w:rPr>
                <w:rFonts w:hint="eastAsia" w:cs="宋体" w:asciiTheme="minorEastAsia" w:hAnsiTheme="minorEastAsia" w:eastAsiaTheme="minorEastAsia"/>
                <w:sz w:val="21"/>
                <w:szCs w:val="21"/>
              </w:rPr>
              <w:t>回转速度</w:t>
            </w:r>
            <w:r>
              <w:rPr>
                <w:rFonts w:cs="宋体" w:asciiTheme="minorEastAsia" w:hAnsiTheme="minorEastAsia" w:eastAsiaTheme="minorEastAsia"/>
                <w:sz w:val="21"/>
                <w:szCs w:val="21"/>
              </w:rPr>
              <w:t>(rpm):</w:t>
            </w:r>
          </w:p>
        </w:tc>
        <w:tc>
          <w:tcPr>
            <w:tcW w:w="992" w:type="dxa"/>
            <w:tcBorders>
              <w:top w:val="single" w:color="000000" w:sz="4" w:space="0"/>
              <w:left w:val="single" w:color="000000" w:sz="4" w:space="0"/>
              <w:bottom w:val="single" w:color="000000" w:sz="4" w:space="0"/>
              <w:right w:val="single" w:color="000000" w:sz="4" w:space="0"/>
            </w:tcBorders>
            <w:vAlign w:val="center"/>
          </w:tcPr>
          <w:p w14:paraId="495EEFD7">
            <w:pPr>
              <w:pStyle w:val="121"/>
              <w:kinsoku w:val="0"/>
              <w:overflowPunct w:val="0"/>
              <w:adjustRightInd/>
              <w:jc w:val="center"/>
              <w:rPr>
                <w:rFonts w:asciiTheme="minorEastAsia" w:hAnsiTheme="minorEastAsia" w:eastAsiaTheme="minorEastAsia"/>
                <w:sz w:val="21"/>
                <w:szCs w:val="21"/>
              </w:rPr>
            </w:pPr>
            <w:r>
              <w:rPr>
                <w:rFonts w:cs="宋体" w:asciiTheme="minorEastAsia" w:hAnsiTheme="minorEastAsia" w:eastAsiaTheme="minorEastAsia"/>
                <w:sz w:val="21"/>
                <w:szCs w:val="21"/>
              </w:rPr>
              <w:t>8.98</w:t>
            </w:r>
          </w:p>
        </w:tc>
        <w:tc>
          <w:tcPr>
            <w:tcW w:w="1085" w:type="dxa"/>
            <w:tcBorders>
              <w:top w:val="single" w:color="000000" w:sz="4" w:space="0"/>
              <w:left w:val="single" w:color="000000" w:sz="4" w:space="0"/>
              <w:bottom w:val="single" w:color="000000" w:sz="4" w:space="0"/>
              <w:right w:val="single" w:color="000000" w:sz="4" w:space="0"/>
            </w:tcBorders>
            <w:vAlign w:val="center"/>
          </w:tcPr>
          <w:p w14:paraId="4933EF2A">
            <w:pPr>
              <w:pStyle w:val="121"/>
              <w:kinsoku w:val="0"/>
              <w:overflowPunct w:val="0"/>
              <w:adjustRightInd/>
              <w:jc w:val="center"/>
              <w:rPr>
                <w:rFonts w:asciiTheme="minorEastAsia" w:hAnsiTheme="minorEastAsia" w:eastAsiaTheme="minorEastAsia"/>
                <w:sz w:val="21"/>
                <w:szCs w:val="21"/>
              </w:rPr>
            </w:pPr>
            <w:r>
              <w:rPr>
                <w:rFonts w:hint="eastAsia" w:cs="宋体" w:asciiTheme="minorEastAsia" w:hAnsiTheme="minorEastAsia" w:eastAsiaTheme="minorEastAsia"/>
                <w:sz w:val="21"/>
                <w:szCs w:val="21"/>
              </w:rPr>
              <w:t>运输总长度</w:t>
            </w:r>
            <w:r>
              <w:rPr>
                <w:rFonts w:cs="宋体" w:asciiTheme="minorEastAsia" w:hAnsiTheme="minorEastAsia" w:eastAsiaTheme="minorEastAsia"/>
                <w:sz w:val="21"/>
                <w:szCs w:val="21"/>
              </w:rPr>
              <w:t xml:space="preserve"> (mm)</w:t>
            </w:r>
          </w:p>
        </w:tc>
        <w:tc>
          <w:tcPr>
            <w:tcW w:w="1016" w:type="dxa"/>
            <w:tcBorders>
              <w:top w:val="single" w:color="000000" w:sz="4" w:space="0"/>
              <w:left w:val="single" w:color="000000" w:sz="4" w:space="0"/>
              <w:bottom w:val="single" w:color="000000" w:sz="4" w:space="0"/>
              <w:right w:val="single" w:color="000000" w:sz="4" w:space="0"/>
            </w:tcBorders>
            <w:vAlign w:val="center"/>
          </w:tcPr>
          <w:p w14:paraId="6FCD4248">
            <w:pPr>
              <w:pStyle w:val="121"/>
              <w:kinsoku w:val="0"/>
              <w:overflowPunct w:val="0"/>
              <w:adjustRightInd/>
              <w:jc w:val="center"/>
              <w:rPr>
                <w:rFonts w:asciiTheme="minorEastAsia" w:hAnsiTheme="minorEastAsia" w:eastAsiaTheme="minorEastAsia"/>
                <w:sz w:val="21"/>
                <w:szCs w:val="21"/>
              </w:rPr>
            </w:pPr>
            <w:r>
              <w:rPr>
                <w:rFonts w:cs="宋体" w:asciiTheme="minorEastAsia" w:hAnsiTheme="minorEastAsia" w:eastAsiaTheme="minorEastAsia"/>
                <w:sz w:val="21"/>
                <w:szCs w:val="21"/>
              </w:rPr>
              <w:t>11120</w:t>
            </w:r>
          </w:p>
        </w:tc>
        <w:tc>
          <w:tcPr>
            <w:tcW w:w="1176" w:type="dxa"/>
            <w:tcBorders>
              <w:top w:val="single" w:color="000000" w:sz="4" w:space="0"/>
              <w:left w:val="single" w:color="000000" w:sz="4" w:space="0"/>
              <w:bottom w:val="single" w:color="000000" w:sz="4" w:space="0"/>
              <w:right w:val="single" w:color="000000" w:sz="4" w:space="0"/>
            </w:tcBorders>
            <w:vAlign w:val="center"/>
          </w:tcPr>
          <w:p w14:paraId="5BA3A983">
            <w:pPr>
              <w:pStyle w:val="121"/>
              <w:kinsoku w:val="0"/>
              <w:overflowPunct w:val="0"/>
              <w:adjustRightInd/>
              <w:jc w:val="center"/>
              <w:rPr>
                <w:rFonts w:asciiTheme="minorEastAsia" w:hAnsiTheme="minorEastAsia" w:eastAsiaTheme="minorEastAsia"/>
                <w:sz w:val="21"/>
                <w:szCs w:val="21"/>
              </w:rPr>
            </w:pPr>
            <w:r>
              <w:rPr>
                <w:rFonts w:hint="eastAsia" w:cs="宋体" w:asciiTheme="minorEastAsia" w:hAnsiTheme="minorEastAsia" w:eastAsiaTheme="minorEastAsia"/>
                <w:sz w:val="21"/>
                <w:szCs w:val="21"/>
              </w:rPr>
              <w:t>最大挖掘半径</w:t>
            </w:r>
            <w:r>
              <w:rPr>
                <w:rFonts w:cs="宋体" w:asciiTheme="minorEastAsia" w:hAnsiTheme="minorEastAsia" w:eastAsiaTheme="minorEastAsia"/>
                <w:sz w:val="21"/>
                <w:szCs w:val="21"/>
              </w:rPr>
              <w:t>(mm):</w:t>
            </w:r>
          </w:p>
        </w:tc>
        <w:tc>
          <w:tcPr>
            <w:tcW w:w="816" w:type="dxa"/>
            <w:tcBorders>
              <w:top w:val="single" w:color="000000" w:sz="4" w:space="0"/>
              <w:left w:val="single" w:color="000000" w:sz="4" w:space="0"/>
              <w:bottom w:val="single" w:color="000000" w:sz="4" w:space="0"/>
              <w:right w:val="single" w:color="000000" w:sz="4" w:space="0"/>
            </w:tcBorders>
            <w:vAlign w:val="center"/>
          </w:tcPr>
          <w:p w14:paraId="52D82A3D">
            <w:pPr>
              <w:pStyle w:val="121"/>
              <w:kinsoku w:val="0"/>
              <w:overflowPunct w:val="0"/>
              <w:adjustRightInd/>
              <w:jc w:val="center"/>
              <w:rPr>
                <w:rFonts w:asciiTheme="minorEastAsia" w:hAnsiTheme="minorEastAsia" w:eastAsiaTheme="minorEastAsia"/>
                <w:sz w:val="21"/>
                <w:szCs w:val="21"/>
              </w:rPr>
            </w:pPr>
            <w:r>
              <w:rPr>
                <w:rFonts w:cs="宋体" w:asciiTheme="minorEastAsia" w:hAnsiTheme="minorEastAsia" w:eastAsiaTheme="minorEastAsia"/>
                <w:sz w:val="21"/>
                <w:szCs w:val="21"/>
              </w:rPr>
              <w:t>10763</w:t>
            </w:r>
          </w:p>
        </w:tc>
      </w:tr>
      <w:tr w14:paraId="3EF3A5D5">
        <w:tblPrEx>
          <w:tblCellMar>
            <w:top w:w="0" w:type="dxa"/>
            <w:left w:w="0" w:type="dxa"/>
            <w:bottom w:w="0" w:type="dxa"/>
            <w:right w:w="0" w:type="dxa"/>
          </w:tblCellMar>
        </w:tblPrEx>
        <w:trPr>
          <w:trHeight w:val="20" w:hRule="atLeast"/>
          <w:jc w:val="center"/>
        </w:trPr>
        <w:tc>
          <w:tcPr>
            <w:tcW w:w="1174" w:type="dxa"/>
            <w:tcBorders>
              <w:top w:val="single" w:color="000000" w:sz="4" w:space="0"/>
              <w:left w:val="single" w:color="000000" w:sz="4" w:space="0"/>
              <w:bottom w:val="single" w:color="000000" w:sz="4" w:space="0"/>
              <w:right w:val="single" w:color="000000" w:sz="4" w:space="0"/>
            </w:tcBorders>
            <w:vAlign w:val="center"/>
          </w:tcPr>
          <w:p w14:paraId="3398E4A9">
            <w:pPr>
              <w:pStyle w:val="121"/>
              <w:kinsoku w:val="0"/>
              <w:overflowPunct w:val="0"/>
              <w:adjustRightInd/>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铲斗容量</w:t>
            </w:r>
          </w:p>
          <w:p w14:paraId="5EF343A4">
            <w:pPr>
              <w:pStyle w:val="121"/>
              <w:kinsoku w:val="0"/>
              <w:overflowPunct w:val="0"/>
              <w:adjustRightInd/>
              <w:jc w:val="center"/>
              <w:rPr>
                <w:rFonts w:asciiTheme="minorEastAsia" w:hAnsiTheme="minorEastAsia" w:eastAsiaTheme="minorEastAsia"/>
                <w:sz w:val="21"/>
                <w:szCs w:val="21"/>
              </w:rPr>
            </w:pPr>
            <w:r>
              <w:rPr>
                <w:rFonts w:cs="宋体" w:asciiTheme="minorEastAsia" w:hAnsiTheme="minorEastAsia" w:eastAsiaTheme="minorEastAsia"/>
                <w:sz w:val="21"/>
                <w:szCs w:val="21"/>
              </w:rPr>
              <w:t>(</w:t>
            </w:r>
            <w:r>
              <w:rPr>
                <w:rFonts w:hint="eastAsia" w:cs="宋体" w:asciiTheme="minorEastAsia" w:hAnsiTheme="minorEastAsia" w:eastAsiaTheme="minorEastAsia"/>
                <w:sz w:val="21"/>
                <w:szCs w:val="21"/>
              </w:rPr>
              <w:t>方</w:t>
            </w:r>
            <w:r>
              <w:rPr>
                <w:rFonts w:cs="宋体" w:asciiTheme="minorEastAsia" w:hAnsiTheme="minorEastAsia" w:eastAsiaTheme="minorEastAsia"/>
                <w:sz w:val="21"/>
                <w:szCs w:val="21"/>
              </w:rPr>
              <w:t>):</w:t>
            </w:r>
          </w:p>
        </w:tc>
        <w:tc>
          <w:tcPr>
            <w:tcW w:w="1094" w:type="dxa"/>
            <w:tcBorders>
              <w:top w:val="single" w:color="000000" w:sz="4" w:space="0"/>
              <w:left w:val="single" w:color="000000" w:sz="4" w:space="0"/>
              <w:bottom w:val="single" w:color="000000" w:sz="4" w:space="0"/>
              <w:right w:val="single" w:color="000000" w:sz="4" w:space="0"/>
            </w:tcBorders>
            <w:vAlign w:val="center"/>
          </w:tcPr>
          <w:p w14:paraId="51F5D903">
            <w:pPr>
              <w:pStyle w:val="121"/>
              <w:kinsoku w:val="0"/>
              <w:overflowPunct w:val="0"/>
              <w:adjustRightInd/>
              <w:jc w:val="center"/>
              <w:rPr>
                <w:rFonts w:asciiTheme="minorEastAsia" w:hAnsiTheme="minorEastAsia" w:eastAsiaTheme="minorEastAsia"/>
                <w:sz w:val="21"/>
                <w:szCs w:val="21"/>
              </w:rPr>
            </w:pPr>
            <w:r>
              <w:rPr>
                <w:rFonts w:cs="宋体" w:asciiTheme="minorEastAsia" w:hAnsiTheme="minorEastAsia" w:eastAsiaTheme="minorEastAsia"/>
                <w:sz w:val="21"/>
                <w:szCs w:val="21"/>
              </w:rPr>
              <w:t>2.12</w:t>
            </w:r>
          </w:p>
        </w:tc>
        <w:tc>
          <w:tcPr>
            <w:tcW w:w="1276" w:type="dxa"/>
            <w:tcBorders>
              <w:top w:val="single" w:color="000000" w:sz="4" w:space="0"/>
              <w:left w:val="single" w:color="000000" w:sz="4" w:space="0"/>
              <w:bottom w:val="single" w:color="000000" w:sz="4" w:space="0"/>
              <w:right w:val="single" w:color="000000" w:sz="4" w:space="0"/>
            </w:tcBorders>
            <w:vAlign w:val="center"/>
          </w:tcPr>
          <w:p w14:paraId="38D7BE2E">
            <w:pPr>
              <w:pStyle w:val="121"/>
              <w:kinsoku w:val="0"/>
              <w:overflowPunct w:val="0"/>
              <w:adjustRightInd/>
              <w:jc w:val="center"/>
              <w:rPr>
                <w:rFonts w:asciiTheme="minorEastAsia" w:hAnsiTheme="minorEastAsia" w:eastAsiaTheme="minorEastAsia"/>
                <w:sz w:val="21"/>
                <w:szCs w:val="21"/>
              </w:rPr>
            </w:pPr>
            <w:r>
              <w:rPr>
                <w:rFonts w:hint="eastAsia" w:cs="宋体" w:asciiTheme="minorEastAsia" w:hAnsiTheme="minorEastAsia" w:eastAsiaTheme="minorEastAsia"/>
                <w:sz w:val="21"/>
                <w:szCs w:val="21"/>
              </w:rPr>
              <w:t>行走速度</w:t>
            </w:r>
            <w:r>
              <w:rPr>
                <w:rFonts w:cs="宋体" w:asciiTheme="minorEastAsia" w:hAnsiTheme="minorEastAsia" w:eastAsiaTheme="minorEastAsia"/>
                <w:sz w:val="21"/>
                <w:szCs w:val="21"/>
              </w:rPr>
              <w:t>(Km/h):</w:t>
            </w:r>
          </w:p>
        </w:tc>
        <w:tc>
          <w:tcPr>
            <w:tcW w:w="992" w:type="dxa"/>
            <w:tcBorders>
              <w:top w:val="single" w:color="000000" w:sz="4" w:space="0"/>
              <w:left w:val="single" w:color="000000" w:sz="4" w:space="0"/>
              <w:bottom w:val="single" w:color="000000" w:sz="4" w:space="0"/>
              <w:right w:val="single" w:color="000000" w:sz="4" w:space="0"/>
            </w:tcBorders>
            <w:vAlign w:val="center"/>
          </w:tcPr>
          <w:p w14:paraId="2139F539">
            <w:pPr>
              <w:pStyle w:val="121"/>
              <w:kinsoku w:val="0"/>
              <w:overflowPunct w:val="0"/>
              <w:adjustRightInd/>
              <w:jc w:val="center"/>
              <w:rPr>
                <w:rFonts w:asciiTheme="minorEastAsia" w:hAnsiTheme="minorEastAsia" w:eastAsiaTheme="minorEastAsia"/>
                <w:sz w:val="21"/>
                <w:szCs w:val="21"/>
              </w:rPr>
            </w:pPr>
            <w:r>
              <w:rPr>
                <w:rFonts w:cs="宋体" w:asciiTheme="minorEastAsia" w:hAnsiTheme="minorEastAsia" w:eastAsiaTheme="minorEastAsia"/>
                <w:sz w:val="21"/>
                <w:szCs w:val="21"/>
              </w:rPr>
              <w:t>3.0/4.6</w:t>
            </w:r>
          </w:p>
        </w:tc>
        <w:tc>
          <w:tcPr>
            <w:tcW w:w="1085" w:type="dxa"/>
            <w:tcBorders>
              <w:top w:val="single" w:color="000000" w:sz="4" w:space="0"/>
              <w:left w:val="single" w:color="000000" w:sz="4" w:space="0"/>
              <w:bottom w:val="single" w:color="000000" w:sz="4" w:space="0"/>
              <w:right w:val="single" w:color="000000" w:sz="4" w:space="0"/>
            </w:tcBorders>
            <w:vAlign w:val="center"/>
          </w:tcPr>
          <w:p w14:paraId="0DCDA391">
            <w:pPr>
              <w:pStyle w:val="121"/>
              <w:kinsoku w:val="0"/>
              <w:overflowPunct w:val="0"/>
              <w:adjustRightInd/>
              <w:jc w:val="center"/>
              <w:rPr>
                <w:rFonts w:asciiTheme="minorEastAsia" w:hAnsiTheme="minorEastAsia" w:eastAsiaTheme="minorEastAsia"/>
                <w:sz w:val="21"/>
                <w:szCs w:val="21"/>
              </w:rPr>
            </w:pPr>
            <w:r>
              <w:rPr>
                <w:rFonts w:hint="eastAsia" w:cs="宋体" w:asciiTheme="minorEastAsia" w:hAnsiTheme="minorEastAsia" w:eastAsiaTheme="minorEastAsia"/>
                <w:sz w:val="21"/>
                <w:szCs w:val="21"/>
              </w:rPr>
              <w:t>运输总宽度</w:t>
            </w:r>
            <w:r>
              <w:rPr>
                <w:rFonts w:cs="宋体" w:asciiTheme="minorEastAsia" w:hAnsiTheme="minorEastAsia" w:eastAsiaTheme="minorEastAsia"/>
                <w:sz w:val="21"/>
                <w:szCs w:val="21"/>
              </w:rPr>
              <w:t xml:space="preserve"> (mm)</w:t>
            </w:r>
          </w:p>
        </w:tc>
        <w:tc>
          <w:tcPr>
            <w:tcW w:w="1016" w:type="dxa"/>
            <w:tcBorders>
              <w:top w:val="single" w:color="000000" w:sz="4" w:space="0"/>
              <w:left w:val="single" w:color="000000" w:sz="4" w:space="0"/>
              <w:bottom w:val="single" w:color="000000" w:sz="4" w:space="0"/>
              <w:right w:val="single" w:color="000000" w:sz="4" w:space="0"/>
            </w:tcBorders>
            <w:vAlign w:val="center"/>
          </w:tcPr>
          <w:p w14:paraId="35E3480D">
            <w:pPr>
              <w:pStyle w:val="121"/>
              <w:kinsoku w:val="0"/>
              <w:overflowPunct w:val="0"/>
              <w:adjustRightInd/>
              <w:jc w:val="center"/>
              <w:rPr>
                <w:rFonts w:asciiTheme="minorEastAsia" w:hAnsiTheme="minorEastAsia" w:eastAsiaTheme="minorEastAsia"/>
                <w:sz w:val="21"/>
                <w:szCs w:val="21"/>
              </w:rPr>
            </w:pPr>
            <w:r>
              <w:rPr>
                <w:rFonts w:cs="宋体" w:asciiTheme="minorEastAsia" w:hAnsiTheme="minorEastAsia" w:eastAsiaTheme="minorEastAsia"/>
                <w:sz w:val="21"/>
                <w:szCs w:val="21"/>
              </w:rPr>
              <w:t>3520</w:t>
            </w:r>
          </w:p>
        </w:tc>
        <w:tc>
          <w:tcPr>
            <w:tcW w:w="1176" w:type="dxa"/>
            <w:tcBorders>
              <w:top w:val="single" w:color="000000" w:sz="4" w:space="0"/>
              <w:left w:val="single" w:color="000000" w:sz="4" w:space="0"/>
              <w:bottom w:val="single" w:color="000000" w:sz="4" w:space="0"/>
              <w:right w:val="single" w:color="000000" w:sz="4" w:space="0"/>
            </w:tcBorders>
            <w:vAlign w:val="center"/>
          </w:tcPr>
          <w:p w14:paraId="7B05A672">
            <w:pPr>
              <w:pStyle w:val="121"/>
              <w:kinsoku w:val="0"/>
              <w:overflowPunct w:val="0"/>
              <w:adjustRightInd/>
              <w:jc w:val="center"/>
              <w:rPr>
                <w:rFonts w:asciiTheme="minorEastAsia" w:hAnsiTheme="minorEastAsia" w:eastAsiaTheme="minorEastAsia"/>
                <w:sz w:val="21"/>
                <w:szCs w:val="21"/>
              </w:rPr>
            </w:pPr>
            <w:r>
              <w:rPr>
                <w:rFonts w:hint="eastAsia" w:cs="宋体" w:asciiTheme="minorEastAsia" w:hAnsiTheme="minorEastAsia" w:eastAsiaTheme="minorEastAsia"/>
                <w:sz w:val="21"/>
                <w:szCs w:val="21"/>
              </w:rPr>
              <w:t>最大挖掘深度</w:t>
            </w:r>
            <w:r>
              <w:rPr>
                <w:rFonts w:cs="宋体" w:asciiTheme="minorEastAsia" w:hAnsiTheme="minorEastAsia" w:eastAsiaTheme="minorEastAsia"/>
                <w:sz w:val="21"/>
                <w:szCs w:val="21"/>
              </w:rPr>
              <w:t xml:space="preserve"> (mm):</w:t>
            </w:r>
          </w:p>
        </w:tc>
        <w:tc>
          <w:tcPr>
            <w:tcW w:w="816" w:type="dxa"/>
            <w:tcBorders>
              <w:top w:val="single" w:color="000000" w:sz="4" w:space="0"/>
              <w:left w:val="single" w:color="000000" w:sz="4" w:space="0"/>
              <w:bottom w:val="single" w:color="000000" w:sz="4" w:space="0"/>
              <w:right w:val="single" w:color="000000" w:sz="4" w:space="0"/>
            </w:tcBorders>
            <w:vAlign w:val="center"/>
          </w:tcPr>
          <w:p w14:paraId="6ADF91C5">
            <w:pPr>
              <w:pStyle w:val="121"/>
              <w:kinsoku w:val="0"/>
              <w:overflowPunct w:val="0"/>
              <w:adjustRightInd/>
              <w:jc w:val="center"/>
              <w:rPr>
                <w:rFonts w:asciiTheme="minorEastAsia" w:hAnsiTheme="minorEastAsia" w:eastAsiaTheme="minorEastAsia"/>
                <w:sz w:val="21"/>
                <w:szCs w:val="21"/>
              </w:rPr>
            </w:pPr>
            <w:r>
              <w:rPr>
                <w:rFonts w:cs="宋体" w:asciiTheme="minorEastAsia" w:hAnsiTheme="minorEastAsia" w:eastAsiaTheme="minorEastAsia"/>
                <w:sz w:val="21"/>
                <w:szCs w:val="21"/>
              </w:rPr>
              <w:t>6495</w:t>
            </w:r>
          </w:p>
        </w:tc>
      </w:tr>
      <w:tr w14:paraId="392E67CD">
        <w:tblPrEx>
          <w:tblCellMar>
            <w:top w:w="0" w:type="dxa"/>
            <w:left w:w="0" w:type="dxa"/>
            <w:bottom w:w="0" w:type="dxa"/>
            <w:right w:w="0" w:type="dxa"/>
          </w:tblCellMar>
        </w:tblPrEx>
        <w:trPr>
          <w:trHeight w:val="20" w:hRule="atLeast"/>
          <w:jc w:val="center"/>
        </w:trPr>
        <w:tc>
          <w:tcPr>
            <w:tcW w:w="1174" w:type="dxa"/>
            <w:tcBorders>
              <w:top w:val="single" w:color="000000" w:sz="4" w:space="0"/>
              <w:left w:val="single" w:color="000000" w:sz="4" w:space="0"/>
              <w:bottom w:val="single" w:color="000000" w:sz="4" w:space="0"/>
              <w:right w:val="single" w:color="000000" w:sz="4" w:space="0"/>
            </w:tcBorders>
            <w:vAlign w:val="center"/>
          </w:tcPr>
          <w:p w14:paraId="6F10F133">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斗杆挖掘力</w:t>
            </w:r>
            <w:r>
              <w:rPr>
                <w:rFonts w:cs="宋体" w:asciiTheme="minorEastAsia" w:hAnsiTheme="minorEastAsia" w:eastAsiaTheme="minorEastAsia"/>
                <w:kern w:val="0"/>
                <w:szCs w:val="21"/>
              </w:rPr>
              <w:t xml:space="preserve"> (kN):</w:t>
            </w:r>
          </w:p>
        </w:tc>
        <w:tc>
          <w:tcPr>
            <w:tcW w:w="1094" w:type="dxa"/>
            <w:tcBorders>
              <w:top w:val="single" w:color="000000" w:sz="4" w:space="0"/>
              <w:left w:val="single" w:color="000000" w:sz="4" w:space="0"/>
              <w:bottom w:val="single" w:color="000000" w:sz="4" w:space="0"/>
              <w:right w:val="single" w:color="000000" w:sz="4" w:space="0"/>
            </w:tcBorders>
            <w:vAlign w:val="center"/>
          </w:tcPr>
          <w:p w14:paraId="25D04EE0">
            <w:pPr>
              <w:kinsoku w:val="0"/>
              <w:overflowPunct w:val="0"/>
              <w:autoSpaceDE w:val="0"/>
              <w:autoSpaceDN w:val="0"/>
              <w:jc w:val="center"/>
              <w:rPr>
                <w:rFonts w:asciiTheme="minorEastAsia" w:hAnsiTheme="minorEastAsia" w:eastAsiaTheme="minorEastAsia"/>
                <w:kern w:val="0"/>
                <w:szCs w:val="21"/>
              </w:rPr>
            </w:pPr>
            <w:r>
              <w:rPr>
                <w:rFonts w:cs="宋体" w:asciiTheme="minorEastAsia" w:hAnsiTheme="minorEastAsia" w:eastAsiaTheme="minorEastAsia"/>
                <w:kern w:val="0"/>
                <w:szCs w:val="21"/>
              </w:rPr>
              <w:t>167</w:t>
            </w:r>
          </w:p>
        </w:tc>
        <w:tc>
          <w:tcPr>
            <w:tcW w:w="1276" w:type="dxa"/>
            <w:tcBorders>
              <w:top w:val="single" w:color="000000" w:sz="4" w:space="0"/>
              <w:left w:val="single" w:color="000000" w:sz="4" w:space="0"/>
              <w:bottom w:val="single" w:color="000000" w:sz="4" w:space="0"/>
              <w:right w:val="single" w:color="000000" w:sz="4" w:space="0"/>
            </w:tcBorders>
            <w:vAlign w:val="center"/>
          </w:tcPr>
          <w:p w14:paraId="787D5CE3">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爬坡能力</w:t>
            </w:r>
            <w:r>
              <w:rPr>
                <w:rFonts w:cs="宋体" w:asciiTheme="minorEastAsia" w:hAnsiTheme="minorEastAsia" w:eastAsiaTheme="minorEastAsia"/>
                <w:kern w:val="0"/>
                <w:szCs w:val="21"/>
              </w:rPr>
              <w:t>(%):</w:t>
            </w:r>
          </w:p>
        </w:tc>
        <w:tc>
          <w:tcPr>
            <w:tcW w:w="992" w:type="dxa"/>
            <w:tcBorders>
              <w:top w:val="single" w:color="000000" w:sz="4" w:space="0"/>
              <w:left w:val="single" w:color="000000" w:sz="4" w:space="0"/>
              <w:bottom w:val="single" w:color="000000" w:sz="4" w:space="0"/>
              <w:right w:val="single" w:color="000000" w:sz="4" w:space="0"/>
            </w:tcBorders>
            <w:vAlign w:val="center"/>
          </w:tcPr>
          <w:p w14:paraId="48D8D94F">
            <w:pPr>
              <w:kinsoku w:val="0"/>
              <w:overflowPunct w:val="0"/>
              <w:autoSpaceDE w:val="0"/>
              <w:autoSpaceDN w:val="0"/>
              <w:jc w:val="center"/>
              <w:rPr>
                <w:rFonts w:asciiTheme="minorEastAsia" w:hAnsiTheme="minorEastAsia" w:eastAsiaTheme="minorEastAsia"/>
                <w:kern w:val="0"/>
                <w:szCs w:val="21"/>
              </w:rPr>
            </w:pPr>
            <w:r>
              <w:rPr>
                <w:rFonts w:cs="宋体" w:asciiTheme="minorEastAsia" w:hAnsiTheme="minorEastAsia" w:eastAsiaTheme="minorEastAsia"/>
                <w:kern w:val="0"/>
                <w:szCs w:val="21"/>
              </w:rPr>
              <w:t>70/35</w:t>
            </w:r>
            <w:r>
              <w:rPr>
                <w:rFonts w:hint="eastAsia" w:cs="宋体" w:asciiTheme="minorEastAsia" w:hAnsiTheme="minorEastAsia" w:eastAsiaTheme="minorEastAsia"/>
                <w:kern w:val="0"/>
                <w:szCs w:val="21"/>
              </w:rPr>
              <w:t>°</w:t>
            </w:r>
          </w:p>
        </w:tc>
        <w:tc>
          <w:tcPr>
            <w:tcW w:w="1085" w:type="dxa"/>
            <w:tcBorders>
              <w:top w:val="single" w:color="000000" w:sz="4" w:space="0"/>
              <w:left w:val="single" w:color="000000" w:sz="4" w:space="0"/>
              <w:bottom w:val="single" w:color="000000" w:sz="4" w:space="0"/>
              <w:right w:val="single" w:color="000000" w:sz="4" w:space="0"/>
            </w:tcBorders>
            <w:vAlign w:val="center"/>
          </w:tcPr>
          <w:p w14:paraId="056775B0">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运输总高度</w:t>
            </w:r>
            <w:r>
              <w:rPr>
                <w:rFonts w:cs="宋体" w:asciiTheme="minorEastAsia" w:hAnsiTheme="minorEastAsia" w:eastAsiaTheme="minorEastAsia"/>
                <w:kern w:val="0"/>
                <w:szCs w:val="21"/>
              </w:rPr>
              <w:t xml:space="preserve"> (mm)</w:t>
            </w:r>
          </w:p>
        </w:tc>
        <w:tc>
          <w:tcPr>
            <w:tcW w:w="1016" w:type="dxa"/>
            <w:tcBorders>
              <w:top w:val="single" w:color="000000" w:sz="4" w:space="0"/>
              <w:left w:val="single" w:color="000000" w:sz="4" w:space="0"/>
              <w:bottom w:val="single" w:color="000000" w:sz="4" w:space="0"/>
              <w:right w:val="single" w:color="000000" w:sz="4" w:space="0"/>
            </w:tcBorders>
            <w:vAlign w:val="center"/>
          </w:tcPr>
          <w:p w14:paraId="7E77766A">
            <w:pPr>
              <w:kinsoku w:val="0"/>
              <w:overflowPunct w:val="0"/>
              <w:autoSpaceDE w:val="0"/>
              <w:autoSpaceDN w:val="0"/>
              <w:jc w:val="center"/>
              <w:rPr>
                <w:rFonts w:asciiTheme="minorEastAsia" w:hAnsiTheme="minorEastAsia" w:eastAsiaTheme="minorEastAsia"/>
                <w:kern w:val="0"/>
                <w:szCs w:val="21"/>
              </w:rPr>
            </w:pPr>
            <w:r>
              <w:rPr>
                <w:rFonts w:cs="宋体" w:asciiTheme="minorEastAsia" w:hAnsiTheme="minorEastAsia" w:eastAsiaTheme="minorEastAsia"/>
                <w:kern w:val="0"/>
                <w:szCs w:val="21"/>
              </w:rPr>
              <w:t>3530</w:t>
            </w:r>
          </w:p>
        </w:tc>
        <w:tc>
          <w:tcPr>
            <w:tcW w:w="1176" w:type="dxa"/>
            <w:tcBorders>
              <w:top w:val="single" w:color="000000" w:sz="4" w:space="0"/>
              <w:left w:val="single" w:color="000000" w:sz="4" w:space="0"/>
              <w:bottom w:val="single" w:color="000000" w:sz="4" w:space="0"/>
              <w:right w:val="single" w:color="000000" w:sz="4" w:space="0"/>
            </w:tcBorders>
            <w:vAlign w:val="center"/>
          </w:tcPr>
          <w:p w14:paraId="249037D9">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最大挖掘高度</w:t>
            </w:r>
            <w:r>
              <w:rPr>
                <w:rFonts w:cs="宋体" w:asciiTheme="minorEastAsia" w:hAnsiTheme="minorEastAsia" w:eastAsiaTheme="minorEastAsia"/>
                <w:kern w:val="0"/>
                <w:szCs w:val="21"/>
              </w:rPr>
              <w:t xml:space="preserve"> (mm):</w:t>
            </w:r>
          </w:p>
        </w:tc>
        <w:tc>
          <w:tcPr>
            <w:tcW w:w="816" w:type="dxa"/>
            <w:tcBorders>
              <w:top w:val="single" w:color="000000" w:sz="4" w:space="0"/>
              <w:left w:val="single" w:color="000000" w:sz="4" w:space="0"/>
              <w:bottom w:val="single" w:color="000000" w:sz="4" w:space="0"/>
              <w:right w:val="single" w:color="000000" w:sz="4" w:space="0"/>
            </w:tcBorders>
            <w:vAlign w:val="center"/>
          </w:tcPr>
          <w:p w14:paraId="52639EE4">
            <w:pPr>
              <w:kinsoku w:val="0"/>
              <w:overflowPunct w:val="0"/>
              <w:autoSpaceDE w:val="0"/>
              <w:autoSpaceDN w:val="0"/>
              <w:jc w:val="center"/>
              <w:rPr>
                <w:rFonts w:asciiTheme="minorEastAsia" w:hAnsiTheme="minorEastAsia" w:eastAsiaTheme="minorEastAsia"/>
                <w:kern w:val="0"/>
                <w:szCs w:val="21"/>
              </w:rPr>
            </w:pPr>
            <w:r>
              <w:rPr>
                <w:rFonts w:cs="宋体" w:asciiTheme="minorEastAsia" w:hAnsiTheme="minorEastAsia" w:eastAsiaTheme="minorEastAsia"/>
                <w:kern w:val="0"/>
                <w:szCs w:val="21"/>
              </w:rPr>
              <w:t>10053</w:t>
            </w:r>
          </w:p>
        </w:tc>
      </w:tr>
      <w:tr w14:paraId="03607B54">
        <w:tblPrEx>
          <w:tblCellMar>
            <w:top w:w="0" w:type="dxa"/>
            <w:left w:w="0" w:type="dxa"/>
            <w:bottom w:w="0" w:type="dxa"/>
            <w:right w:w="0" w:type="dxa"/>
          </w:tblCellMar>
        </w:tblPrEx>
        <w:trPr>
          <w:trHeight w:val="20" w:hRule="atLeast"/>
          <w:jc w:val="center"/>
        </w:trPr>
        <w:tc>
          <w:tcPr>
            <w:tcW w:w="1174" w:type="dxa"/>
            <w:tcBorders>
              <w:top w:val="single" w:color="000000" w:sz="4" w:space="0"/>
              <w:left w:val="single" w:color="000000" w:sz="4" w:space="0"/>
              <w:bottom w:val="single" w:color="000000" w:sz="4" w:space="0"/>
              <w:right w:val="single" w:color="000000" w:sz="4" w:space="0"/>
            </w:tcBorders>
            <w:vAlign w:val="center"/>
          </w:tcPr>
          <w:p w14:paraId="3B317B8F">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发动机厂家</w:t>
            </w:r>
          </w:p>
        </w:tc>
        <w:tc>
          <w:tcPr>
            <w:tcW w:w="1094" w:type="dxa"/>
            <w:tcBorders>
              <w:top w:val="single" w:color="000000" w:sz="4" w:space="0"/>
              <w:left w:val="single" w:color="000000" w:sz="4" w:space="0"/>
              <w:bottom w:val="single" w:color="000000" w:sz="4" w:space="0"/>
              <w:right w:val="single" w:color="000000" w:sz="4" w:space="0"/>
            </w:tcBorders>
            <w:vAlign w:val="center"/>
          </w:tcPr>
          <w:p w14:paraId="0BF4A798">
            <w:pPr>
              <w:kinsoku w:val="0"/>
              <w:overflowPunct w:val="0"/>
              <w:autoSpaceDE w:val="0"/>
              <w:autoSpaceDN w:val="0"/>
              <w:jc w:val="center"/>
              <w:rPr>
                <w:rFonts w:asciiTheme="minorEastAsia" w:hAnsiTheme="minorEastAsia" w:eastAsiaTheme="minorEastAsia"/>
                <w:kern w:val="0"/>
                <w:szCs w:val="21"/>
              </w:rPr>
            </w:pPr>
            <w:r>
              <w:rPr>
                <w:rFonts w:cs="宋体" w:asciiTheme="minorEastAsia" w:hAnsiTheme="minorEastAsia" w:eastAsiaTheme="minorEastAsia"/>
                <w:kern w:val="0"/>
                <w:szCs w:val="21"/>
              </w:rPr>
              <w:t xml:space="preserve">Cat </w:t>
            </w:r>
            <w:r>
              <w:rPr>
                <w:rFonts w:hint="eastAsia" w:cs="宋体" w:asciiTheme="minorEastAsia" w:hAnsiTheme="minorEastAsia" w:eastAsiaTheme="minorEastAsia"/>
                <w:kern w:val="0"/>
                <w:szCs w:val="21"/>
              </w:rPr>
              <w:t>®</w:t>
            </w:r>
            <w:r>
              <w:rPr>
                <w:rFonts w:cs="宋体" w:asciiTheme="minorEastAsia" w:hAnsiTheme="minorEastAsia" w:eastAsiaTheme="minorEastAsia"/>
                <w:kern w:val="0"/>
                <w:szCs w:val="21"/>
              </w:rPr>
              <w:t xml:space="preserve"> C9</w:t>
            </w:r>
            <w:r>
              <w:rPr>
                <w:rFonts w:hint="eastAsia" w:cs="宋体" w:asciiTheme="minorEastAsia" w:hAnsiTheme="minorEastAsia" w:eastAsiaTheme="minorEastAsia"/>
                <w:kern w:val="0"/>
                <w:szCs w:val="21"/>
              </w:rPr>
              <w:t>型发动机</w:t>
            </w:r>
          </w:p>
        </w:tc>
        <w:tc>
          <w:tcPr>
            <w:tcW w:w="1276" w:type="dxa"/>
            <w:tcBorders>
              <w:top w:val="single" w:color="000000" w:sz="4" w:space="0"/>
              <w:left w:val="single" w:color="000000" w:sz="4" w:space="0"/>
              <w:bottom w:val="single" w:color="000000" w:sz="4" w:space="0"/>
              <w:right w:val="single" w:color="000000" w:sz="4" w:space="0"/>
            </w:tcBorders>
            <w:vAlign w:val="center"/>
          </w:tcPr>
          <w:p w14:paraId="5AF21304">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最大牵引力</w:t>
            </w:r>
            <w:r>
              <w:rPr>
                <w:rFonts w:cs="宋体" w:asciiTheme="minorEastAsia" w:hAnsiTheme="minorEastAsia" w:eastAsiaTheme="minorEastAsia"/>
                <w:kern w:val="0"/>
                <w:szCs w:val="21"/>
              </w:rPr>
              <w:t xml:space="preserve"> (kN):</w:t>
            </w:r>
          </w:p>
        </w:tc>
        <w:tc>
          <w:tcPr>
            <w:tcW w:w="992" w:type="dxa"/>
            <w:tcBorders>
              <w:top w:val="single" w:color="000000" w:sz="4" w:space="0"/>
              <w:left w:val="single" w:color="000000" w:sz="4" w:space="0"/>
              <w:bottom w:val="single" w:color="000000" w:sz="4" w:space="0"/>
              <w:right w:val="single" w:color="000000" w:sz="4" w:space="0"/>
            </w:tcBorders>
            <w:vAlign w:val="center"/>
          </w:tcPr>
          <w:p w14:paraId="74FCF72C">
            <w:pPr>
              <w:kinsoku w:val="0"/>
              <w:overflowPunct w:val="0"/>
              <w:autoSpaceDE w:val="0"/>
              <w:autoSpaceDN w:val="0"/>
              <w:jc w:val="center"/>
              <w:rPr>
                <w:rFonts w:asciiTheme="minorEastAsia" w:hAnsiTheme="minorEastAsia" w:eastAsiaTheme="minorEastAsia"/>
                <w:kern w:val="0"/>
                <w:szCs w:val="21"/>
              </w:rPr>
            </w:pPr>
            <w:r>
              <w:rPr>
                <w:rFonts w:cs="宋体" w:asciiTheme="minorEastAsia" w:hAnsiTheme="minorEastAsia" w:eastAsiaTheme="minorEastAsia"/>
                <w:kern w:val="0"/>
                <w:szCs w:val="21"/>
              </w:rPr>
              <w:t>443</w:t>
            </w:r>
          </w:p>
        </w:tc>
        <w:tc>
          <w:tcPr>
            <w:tcW w:w="1085" w:type="dxa"/>
            <w:tcBorders>
              <w:top w:val="single" w:color="000000" w:sz="4" w:space="0"/>
              <w:left w:val="single" w:color="000000" w:sz="4" w:space="0"/>
              <w:bottom w:val="single" w:color="000000" w:sz="4" w:space="0"/>
              <w:right w:val="single" w:color="000000" w:sz="4" w:space="0"/>
            </w:tcBorders>
            <w:vAlign w:val="center"/>
          </w:tcPr>
          <w:p w14:paraId="2C2F19A1">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排量（</w:t>
            </w:r>
            <w:r>
              <w:rPr>
                <w:rFonts w:cs="宋体" w:asciiTheme="minorEastAsia" w:hAnsiTheme="minorEastAsia" w:eastAsiaTheme="minorEastAsia"/>
                <w:kern w:val="0"/>
                <w:szCs w:val="21"/>
              </w:rPr>
              <w:t>L</w:t>
            </w:r>
            <w:r>
              <w:rPr>
                <w:rFonts w:hint="eastAsia" w:cs="宋体" w:asciiTheme="minorEastAsia" w:hAnsiTheme="minorEastAsia" w:eastAsiaTheme="minorEastAsia"/>
                <w:kern w:val="0"/>
                <w:szCs w:val="21"/>
              </w:rPr>
              <w:t>）</w:t>
            </w:r>
          </w:p>
        </w:tc>
        <w:tc>
          <w:tcPr>
            <w:tcW w:w="1016" w:type="dxa"/>
            <w:tcBorders>
              <w:top w:val="single" w:color="000000" w:sz="4" w:space="0"/>
              <w:left w:val="single" w:color="000000" w:sz="4" w:space="0"/>
              <w:bottom w:val="single" w:color="000000" w:sz="4" w:space="0"/>
              <w:right w:val="single" w:color="000000" w:sz="4" w:space="0"/>
            </w:tcBorders>
            <w:vAlign w:val="center"/>
          </w:tcPr>
          <w:p w14:paraId="58710761">
            <w:pPr>
              <w:kinsoku w:val="0"/>
              <w:overflowPunct w:val="0"/>
              <w:autoSpaceDE w:val="0"/>
              <w:autoSpaceDN w:val="0"/>
              <w:jc w:val="center"/>
              <w:rPr>
                <w:rFonts w:asciiTheme="minorEastAsia" w:hAnsiTheme="minorEastAsia" w:eastAsiaTheme="minorEastAsia"/>
                <w:kern w:val="0"/>
                <w:szCs w:val="21"/>
              </w:rPr>
            </w:pPr>
            <w:r>
              <w:rPr>
                <w:rFonts w:cs="宋体" w:asciiTheme="minorEastAsia" w:hAnsiTheme="minorEastAsia" w:eastAsiaTheme="minorEastAsia"/>
                <w:kern w:val="0"/>
                <w:szCs w:val="21"/>
              </w:rPr>
              <w:t>8.8</w:t>
            </w:r>
          </w:p>
        </w:tc>
        <w:tc>
          <w:tcPr>
            <w:tcW w:w="1176" w:type="dxa"/>
            <w:tcBorders>
              <w:top w:val="single" w:color="000000" w:sz="4" w:space="0"/>
              <w:left w:val="single" w:color="000000" w:sz="4" w:space="0"/>
              <w:bottom w:val="single" w:color="000000" w:sz="4" w:space="0"/>
              <w:right w:val="single" w:color="000000" w:sz="4" w:space="0"/>
            </w:tcBorders>
            <w:vAlign w:val="center"/>
          </w:tcPr>
          <w:p w14:paraId="05754D54">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最大卸载高度</w:t>
            </w:r>
            <w:r>
              <w:rPr>
                <w:rFonts w:cs="宋体" w:asciiTheme="minorEastAsia" w:hAnsiTheme="minorEastAsia" w:eastAsiaTheme="minorEastAsia"/>
                <w:kern w:val="0"/>
                <w:szCs w:val="21"/>
              </w:rPr>
              <w:t xml:space="preserve"> (mm):</w:t>
            </w:r>
          </w:p>
        </w:tc>
        <w:tc>
          <w:tcPr>
            <w:tcW w:w="816" w:type="dxa"/>
            <w:tcBorders>
              <w:top w:val="single" w:color="000000" w:sz="4" w:space="0"/>
              <w:left w:val="single" w:color="000000" w:sz="4" w:space="0"/>
              <w:bottom w:val="single" w:color="000000" w:sz="4" w:space="0"/>
              <w:right w:val="single" w:color="000000" w:sz="4" w:space="0"/>
            </w:tcBorders>
            <w:vAlign w:val="center"/>
          </w:tcPr>
          <w:p w14:paraId="1486C584">
            <w:pPr>
              <w:kinsoku w:val="0"/>
              <w:overflowPunct w:val="0"/>
              <w:autoSpaceDE w:val="0"/>
              <w:autoSpaceDN w:val="0"/>
              <w:jc w:val="center"/>
              <w:rPr>
                <w:rFonts w:asciiTheme="minorEastAsia" w:hAnsiTheme="minorEastAsia" w:eastAsiaTheme="minorEastAsia"/>
                <w:kern w:val="0"/>
                <w:szCs w:val="21"/>
              </w:rPr>
            </w:pPr>
            <w:r>
              <w:rPr>
                <w:rFonts w:cs="宋体" w:asciiTheme="minorEastAsia" w:hAnsiTheme="minorEastAsia" w:eastAsiaTheme="minorEastAsia"/>
                <w:kern w:val="0"/>
                <w:szCs w:val="21"/>
              </w:rPr>
              <w:t>6845</w:t>
            </w:r>
          </w:p>
        </w:tc>
      </w:tr>
      <w:tr w14:paraId="105586CA">
        <w:tblPrEx>
          <w:tblCellMar>
            <w:top w:w="0" w:type="dxa"/>
            <w:left w:w="0" w:type="dxa"/>
            <w:bottom w:w="0" w:type="dxa"/>
            <w:right w:w="0" w:type="dxa"/>
          </w:tblCellMar>
        </w:tblPrEx>
        <w:trPr>
          <w:trHeight w:val="20" w:hRule="atLeast"/>
          <w:jc w:val="center"/>
        </w:trPr>
        <w:tc>
          <w:tcPr>
            <w:tcW w:w="1174" w:type="dxa"/>
            <w:tcBorders>
              <w:top w:val="single" w:color="000000" w:sz="4" w:space="0"/>
              <w:left w:val="single" w:color="000000" w:sz="4" w:space="0"/>
              <w:bottom w:val="single" w:color="000000" w:sz="4" w:space="0"/>
              <w:right w:val="single" w:color="000000" w:sz="4" w:space="0"/>
            </w:tcBorders>
            <w:vAlign w:val="center"/>
          </w:tcPr>
          <w:p w14:paraId="6FD36B15">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功率（</w:t>
            </w:r>
            <w:r>
              <w:rPr>
                <w:rFonts w:cs="宋体" w:asciiTheme="minorEastAsia" w:hAnsiTheme="minorEastAsia" w:eastAsiaTheme="minorEastAsia"/>
                <w:kern w:val="0"/>
                <w:szCs w:val="21"/>
              </w:rPr>
              <w:t>kW</w:t>
            </w:r>
            <w:r>
              <w:rPr>
                <w:rFonts w:hint="eastAsia" w:cs="宋体" w:asciiTheme="minorEastAsia" w:hAnsiTheme="minorEastAsia" w:eastAsiaTheme="minorEastAsia"/>
                <w:kern w:val="0"/>
                <w:szCs w:val="21"/>
              </w:rPr>
              <w:t>）</w:t>
            </w:r>
          </w:p>
        </w:tc>
        <w:tc>
          <w:tcPr>
            <w:tcW w:w="1094" w:type="dxa"/>
            <w:tcBorders>
              <w:top w:val="single" w:color="000000" w:sz="4" w:space="0"/>
              <w:left w:val="single" w:color="000000" w:sz="4" w:space="0"/>
              <w:bottom w:val="single" w:color="000000" w:sz="4" w:space="0"/>
              <w:right w:val="single" w:color="000000" w:sz="4" w:space="0"/>
            </w:tcBorders>
            <w:vAlign w:val="center"/>
          </w:tcPr>
          <w:p w14:paraId="4C853423">
            <w:pPr>
              <w:kinsoku w:val="0"/>
              <w:overflowPunct w:val="0"/>
              <w:autoSpaceDE w:val="0"/>
              <w:autoSpaceDN w:val="0"/>
              <w:jc w:val="center"/>
              <w:rPr>
                <w:rFonts w:asciiTheme="minorEastAsia" w:hAnsiTheme="minorEastAsia" w:eastAsiaTheme="minorEastAsia"/>
                <w:kern w:val="0"/>
                <w:szCs w:val="21"/>
              </w:rPr>
            </w:pPr>
            <w:r>
              <w:rPr>
                <w:rFonts w:cs="宋体" w:asciiTheme="minorEastAsia" w:hAnsiTheme="minorEastAsia" w:eastAsiaTheme="minorEastAsia"/>
                <w:kern w:val="0"/>
                <w:szCs w:val="21"/>
              </w:rPr>
              <w:t>343/2100</w:t>
            </w:r>
          </w:p>
        </w:tc>
        <w:tc>
          <w:tcPr>
            <w:tcW w:w="1276" w:type="dxa"/>
            <w:tcBorders>
              <w:top w:val="single" w:color="000000" w:sz="4" w:space="0"/>
              <w:left w:val="single" w:color="000000" w:sz="4" w:space="0"/>
              <w:bottom w:val="single" w:color="000000" w:sz="4" w:space="0"/>
              <w:right w:val="single" w:color="000000" w:sz="4" w:space="0"/>
            </w:tcBorders>
            <w:vAlign w:val="center"/>
          </w:tcPr>
          <w:p w14:paraId="15B3199F">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铲斗挖掘力</w:t>
            </w:r>
            <w:r>
              <w:rPr>
                <w:rFonts w:cs="宋体" w:asciiTheme="minorEastAsia" w:hAnsiTheme="minorEastAsia" w:eastAsiaTheme="minorEastAsia"/>
                <w:kern w:val="0"/>
                <w:szCs w:val="21"/>
              </w:rPr>
              <w:t xml:space="preserve"> (kN):</w:t>
            </w:r>
          </w:p>
        </w:tc>
        <w:tc>
          <w:tcPr>
            <w:tcW w:w="992" w:type="dxa"/>
            <w:tcBorders>
              <w:top w:val="single" w:color="000000" w:sz="4" w:space="0"/>
              <w:left w:val="single" w:color="000000" w:sz="4" w:space="0"/>
              <w:bottom w:val="single" w:color="000000" w:sz="4" w:space="0"/>
              <w:right w:val="single" w:color="000000" w:sz="4" w:space="0"/>
            </w:tcBorders>
            <w:vAlign w:val="center"/>
          </w:tcPr>
          <w:p w14:paraId="6CC774A9">
            <w:pPr>
              <w:kinsoku w:val="0"/>
              <w:overflowPunct w:val="0"/>
              <w:autoSpaceDE w:val="0"/>
              <w:autoSpaceDN w:val="0"/>
              <w:jc w:val="center"/>
              <w:rPr>
                <w:rFonts w:asciiTheme="minorEastAsia" w:hAnsiTheme="minorEastAsia" w:eastAsiaTheme="minorEastAsia"/>
                <w:kern w:val="0"/>
                <w:szCs w:val="21"/>
              </w:rPr>
            </w:pPr>
            <w:r>
              <w:rPr>
                <w:rFonts w:cs="宋体" w:asciiTheme="minorEastAsia" w:hAnsiTheme="minorEastAsia" w:eastAsiaTheme="minorEastAsia"/>
                <w:kern w:val="0"/>
                <w:szCs w:val="21"/>
              </w:rPr>
              <w:t>329</w:t>
            </w:r>
          </w:p>
        </w:tc>
        <w:tc>
          <w:tcPr>
            <w:tcW w:w="1085" w:type="dxa"/>
            <w:tcBorders>
              <w:top w:val="single" w:color="000000" w:sz="4" w:space="0"/>
              <w:left w:val="single" w:color="000000" w:sz="4" w:space="0"/>
              <w:bottom w:val="single" w:color="000000" w:sz="4" w:space="0"/>
              <w:right w:val="single" w:color="000000" w:sz="4" w:space="0"/>
            </w:tcBorders>
            <w:vAlign w:val="center"/>
          </w:tcPr>
          <w:p w14:paraId="365BEC25">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排放标准</w:t>
            </w:r>
          </w:p>
        </w:tc>
        <w:tc>
          <w:tcPr>
            <w:tcW w:w="1016" w:type="dxa"/>
            <w:tcBorders>
              <w:top w:val="single" w:color="000000" w:sz="4" w:space="0"/>
              <w:left w:val="single" w:color="000000" w:sz="4" w:space="0"/>
              <w:bottom w:val="single" w:color="000000" w:sz="4" w:space="0"/>
              <w:right w:val="single" w:color="000000" w:sz="4" w:space="0"/>
            </w:tcBorders>
            <w:vAlign w:val="center"/>
          </w:tcPr>
          <w:p w14:paraId="47A8145D">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国四</w:t>
            </w:r>
          </w:p>
        </w:tc>
        <w:tc>
          <w:tcPr>
            <w:tcW w:w="1176" w:type="dxa"/>
            <w:tcBorders>
              <w:top w:val="single" w:color="000000" w:sz="4" w:space="0"/>
              <w:left w:val="single" w:color="000000" w:sz="4" w:space="0"/>
              <w:bottom w:val="single" w:color="000000" w:sz="4" w:space="0"/>
              <w:right w:val="single" w:color="000000" w:sz="4" w:space="0"/>
            </w:tcBorders>
            <w:vAlign w:val="center"/>
          </w:tcPr>
          <w:p w14:paraId="7628CBFD">
            <w:pPr>
              <w:kinsoku w:val="0"/>
              <w:overflowPunct w:val="0"/>
              <w:autoSpaceDE w:val="0"/>
              <w:autoSpaceDN w:val="0"/>
              <w:jc w:val="center"/>
              <w:rPr>
                <w:rFonts w:asciiTheme="minorEastAsia" w:hAnsiTheme="minorEastAsia" w:eastAsiaTheme="minorEastAsia"/>
                <w:kern w:val="0"/>
                <w:szCs w:val="21"/>
              </w:rPr>
            </w:pPr>
            <w:r>
              <w:rPr>
                <w:rFonts w:hint="eastAsia" w:cs="宋体" w:asciiTheme="minorEastAsia" w:hAnsiTheme="minorEastAsia" w:eastAsiaTheme="minorEastAsia"/>
                <w:kern w:val="0"/>
                <w:szCs w:val="21"/>
              </w:rPr>
              <w:t>最大挖掘距离</w:t>
            </w:r>
            <w:r>
              <w:rPr>
                <w:rFonts w:cs="宋体" w:asciiTheme="minorEastAsia" w:hAnsiTheme="minorEastAsia" w:eastAsiaTheme="minorEastAsia"/>
                <w:kern w:val="0"/>
                <w:szCs w:val="21"/>
              </w:rPr>
              <w:t xml:space="preserve"> (mm):</w:t>
            </w:r>
          </w:p>
        </w:tc>
        <w:tc>
          <w:tcPr>
            <w:tcW w:w="816" w:type="dxa"/>
            <w:tcBorders>
              <w:top w:val="single" w:color="000000" w:sz="4" w:space="0"/>
              <w:left w:val="single" w:color="000000" w:sz="4" w:space="0"/>
              <w:bottom w:val="single" w:color="000000" w:sz="4" w:space="0"/>
              <w:right w:val="single" w:color="000000" w:sz="4" w:space="0"/>
            </w:tcBorders>
            <w:vAlign w:val="center"/>
          </w:tcPr>
          <w:p w14:paraId="4994E4F0">
            <w:pPr>
              <w:kinsoku w:val="0"/>
              <w:overflowPunct w:val="0"/>
              <w:autoSpaceDE w:val="0"/>
              <w:autoSpaceDN w:val="0"/>
              <w:jc w:val="center"/>
              <w:rPr>
                <w:rFonts w:asciiTheme="minorEastAsia" w:hAnsiTheme="minorEastAsia" w:eastAsiaTheme="minorEastAsia"/>
                <w:kern w:val="0"/>
                <w:szCs w:val="21"/>
              </w:rPr>
            </w:pPr>
            <w:r>
              <w:rPr>
                <w:rFonts w:cs="宋体" w:asciiTheme="minorEastAsia" w:hAnsiTheme="minorEastAsia" w:eastAsiaTheme="minorEastAsia"/>
                <w:kern w:val="0"/>
                <w:szCs w:val="21"/>
              </w:rPr>
              <w:t>10515</w:t>
            </w:r>
          </w:p>
        </w:tc>
      </w:tr>
    </w:tbl>
    <w:p w14:paraId="3A5854C1">
      <w:pPr>
        <w:kinsoku w:val="0"/>
        <w:overflowPunct w:val="0"/>
        <w:autoSpaceDE w:val="0"/>
        <w:autoSpaceDN w:val="0"/>
        <w:adjustRightInd w:val="0"/>
        <w:spacing w:before="4"/>
        <w:jc w:val="left"/>
        <w:rPr>
          <w:kern w:val="0"/>
          <w:sz w:val="5"/>
          <w:szCs w:val="5"/>
        </w:rPr>
      </w:pPr>
    </w:p>
    <w:p w14:paraId="6C8AE45F">
      <w:pPr>
        <w:spacing w:line="360" w:lineRule="auto"/>
        <w:ind w:firstLine="560"/>
        <w:rPr>
          <w:rFonts w:ascii="宋体" w:hAnsi="宋体"/>
          <w:sz w:val="28"/>
          <w:szCs w:val="28"/>
        </w:rPr>
      </w:pPr>
      <w:r>
        <w:rPr>
          <w:rFonts w:hint="eastAsia" w:ascii="宋体" w:hAnsi="宋体"/>
          <w:sz w:val="28"/>
          <w:szCs w:val="28"/>
        </w:rPr>
        <w:t>①估算单台挖掘机的班生产能力为：</w:t>
      </w:r>
    </w:p>
    <w:p w14:paraId="1C99F708">
      <w:pPr>
        <w:spacing w:line="360" w:lineRule="auto"/>
        <w:ind w:firstLine="565" w:firstLineChars="202"/>
        <w:rPr>
          <w:sz w:val="28"/>
          <w:szCs w:val="28"/>
        </w:rPr>
      </w:pPr>
      <w:r>
        <w:rPr>
          <w:rFonts w:hint="eastAsia"/>
          <w:sz w:val="28"/>
          <w:szCs w:val="28"/>
        </w:rPr>
        <w:t>计算公式Q</w:t>
      </w:r>
      <w:r>
        <w:rPr>
          <w:rFonts w:hint="eastAsia"/>
          <w:sz w:val="28"/>
          <w:szCs w:val="28"/>
          <w:vertAlign w:val="subscript"/>
        </w:rPr>
        <w:t>B</w:t>
      </w:r>
      <w:r>
        <w:rPr>
          <w:rFonts w:hint="eastAsia"/>
          <w:sz w:val="28"/>
          <w:szCs w:val="28"/>
        </w:rPr>
        <w:t>=(3600</w:t>
      </w:r>
      <w:r>
        <w:rPr>
          <w:rFonts w:hint="eastAsia" w:ascii="宋体" w:hAnsi="宋体"/>
          <w:sz w:val="28"/>
          <w:szCs w:val="28"/>
        </w:rPr>
        <w:t>×</w:t>
      </w:r>
      <w:r>
        <w:rPr>
          <w:rFonts w:hint="eastAsia"/>
          <w:sz w:val="28"/>
          <w:szCs w:val="28"/>
        </w:rPr>
        <w:t>T)/t</w:t>
      </w:r>
      <w:r>
        <w:rPr>
          <w:rFonts w:hint="eastAsia" w:ascii="宋体" w:hAnsi="宋体"/>
          <w:sz w:val="28"/>
          <w:szCs w:val="28"/>
        </w:rPr>
        <w:t>×E×K</w:t>
      </w:r>
      <w:r>
        <w:rPr>
          <w:rFonts w:hint="eastAsia" w:ascii="宋体" w:hAnsi="宋体"/>
          <w:sz w:val="28"/>
          <w:szCs w:val="28"/>
          <w:vertAlign w:val="subscript"/>
        </w:rPr>
        <w:t>m</w:t>
      </w:r>
      <w:r>
        <w:rPr>
          <w:rFonts w:hint="eastAsia" w:ascii="宋体" w:hAnsi="宋体"/>
          <w:sz w:val="28"/>
          <w:szCs w:val="28"/>
        </w:rPr>
        <w:t>×η×1/K</w:t>
      </w:r>
      <w:r>
        <w:rPr>
          <w:rFonts w:hint="eastAsia" w:ascii="宋体" w:hAnsi="宋体"/>
          <w:sz w:val="28"/>
          <w:szCs w:val="28"/>
          <w:vertAlign w:val="subscript"/>
        </w:rPr>
        <w:t>s</w:t>
      </w:r>
      <w:r>
        <w:rPr>
          <w:rFonts w:hint="eastAsia" w:ascii="宋体" w:hAnsi="宋体"/>
          <w:sz w:val="28"/>
          <w:szCs w:val="28"/>
        </w:rPr>
        <w:t>=</w:t>
      </w:r>
      <w:r>
        <w:rPr>
          <w:rFonts w:hint="eastAsia"/>
          <w:sz w:val="28"/>
          <w:szCs w:val="28"/>
        </w:rPr>
        <w:t>793.73 m</w:t>
      </w:r>
      <w:r>
        <w:rPr>
          <w:rFonts w:hint="eastAsia"/>
          <w:sz w:val="28"/>
          <w:szCs w:val="28"/>
          <w:vertAlign w:val="superscript"/>
        </w:rPr>
        <w:t>3</w:t>
      </w:r>
      <w:r>
        <w:rPr>
          <w:rFonts w:hint="eastAsia"/>
          <w:sz w:val="28"/>
          <w:szCs w:val="28"/>
        </w:rPr>
        <w:t>/台班</w:t>
      </w:r>
    </w:p>
    <w:p w14:paraId="4218A4FE">
      <w:pPr>
        <w:spacing w:line="360" w:lineRule="auto"/>
        <w:ind w:firstLine="565" w:firstLineChars="202"/>
        <w:rPr>
          <w:rFonts w:ascii="宋体" w:hAnsi="宋体"/>
          <w:sz w:val="28"/>
          <w:szCs w:val="28"/>
        </w:rPr>
      </w:pPr>
      <w:r>
        <w:rPr>
          <w:rFonts w:hint="eastAsia" w:ascii="宋体" w:hAnsi="宋体"/>
          <w:sz w:val="28"/>
          <w:szCs w:val="28"/>
        </w:rPr>
        <w:t>②单台挖掘机年生产能力为：</w:t>
      </w:r>
    </w:p>
    <w:p w14:paraId="6A4302E4">
      <w:pPr>
        <w:spacing w:line="360" w:lineRule="auto"/>
        <w:ind w:firstLine="565" w:firstLineChars="202"/>
        <w:rPr>
          <w:rFonts w:asciiTheme="minorEastAsia" w:hAnsiTheme="minorEastAsia" w:eastAsiaTheme="minorEastAsia"/>
          <w:sz w:val="28"/>
          <w:szCs w:val="28"/>
        </w:rPr>
      </w:pPr>
      <w:r>
        <w:rPr>
          <w:rFonts w:hint="eastAsia" w:asciiTheme="minorEastAsia" w:hAnsiTheme="minorEastAsia" w:eastAsiaTheme="minorEastAsia"/>
          <w:sz w:val="28"/>
          <w:szCs w:val="28"/>
        </w:rPr>
        <w:t>计算公式Q</w:t>
      </w:r>
      <w:r>
        <w:rPr>
          <w:rFonts w:hint="eastAsia" w:asciiTheme="minorEastAsia" w:hAnsiTheme="minorEastAsia" w:eastAsiaTheme="minorEastAsia"/>
          <w:sz w:val="28"/>
          <w:szCs w:val="28"/>
          <w:vertAlign w:val="subscript"/>
        </w:rPr>
        <w:t>N</w:t>
      </w:r>
      <w:r>
        <w:rPr>
          <w:rFonts w:hint="eastAsia" w:asciiTheme="minorEastAsia" w:hAnsiTheme="minorEastAsia" w:eastAsiaTheme="minorEastAsia"/>
          <w:sz w:val="28"/>
          <w:szCs w:val="28"/>
        </w:rPr>
        <w:t xml:space="preserve"> =Q</w:t>
      </w:r>
      <w:r>
        <w:rPr>
          <w:rFonts w:hint="eastAsia" w:asciiTheme="minorEastAsia" w:hAnsiTheme="minorEastAsia" w:eastAsiaTheme="minorEastAsia"/>
          <w:sz w:val="28"/>
          <w:szCs w:val="28"/>
          <w:vertAlign w:val="subscript"/>
        </w:rPr>
        <w:t>B</w:t>
      </w:r>
      <w:r>
        <w:rPr>
          <w:rFonts w:asciiTheme="minorEastAsia" w:hAnsiTheme="minorEastAsia" w:eastAsiaTheme="minorEastAsia"/>
          <w:sz w:val="28"/>
          <w:szCs w:val="28"/>
        </w:rPr>
        <w:t>×</w:t>
      </w:r>
      <w:r>
        <w:rPr>
          <w:rFonts w:hint="eastAsia" w:asciiTheme="minorEastAsia" w:hAnsiTheme="minorEastAsia" w:eastAsiaTheme="minorEastAsia"/>
          <w:sz w:val="28"/>
          <w:szCs w:val="28"/>
        </w:rPr>
        <w:t>n</w:t>
      </w:r>
      <w:r>
        <w:rPr>
          <w:rFonts w:asciiTheme="minorEastAsia" w:hAnsiTheme="minorEastAsia" w:eastAsiaTheme="minorEastAsia"/>
          <w:sz w:val="28"/>
          <w:szCs w:val="28"/>
        </w:rPr>
        <w:t>×</w:t>
      </w:r>
      <w:r>
        <w:rPr>
          <w:rFonts w:hint="eastAsia" w:asciiTheme="minorEastAsia" w:hAnsiTheme="minorEastAsia" w:eastAsiaTheme="minorEastAsia"/>
          <w:sz w:val="28"/>
          <w:szCs w:val="28"/>
        </w:rPr>
        <w:t>N=23.81万m</w:t>
      </w:r>
      <w:r>
        <w:rPr>
          <w:rFonts w:hint="eastAsia" w:asciiTheme="minorEastAsia" w:hAnsiTheme="minorEastAsia" w:eastAsiaTheme="minorEastAsia"/>
          <w:sz w:val="28"/>
          <w:szCs w:val="28"/>
          <w:vertAlign w:val="superscript"/>
        </w:rPr>
        <w:t>3</w:t>
      </w:r>
      <w:r>
        <w:rPr>
          <w:rFonts w:hint="eastAsia" w:asciiTheme="minorEastAsia" w:hAnsiTheme="minorEastAsia" w:eastAsiaTheme="minorEastAsia"/>
          <w:sz w:val="28"/>
          <w:szCs w:val="28"/>
        </w:rPr>
        <w:t>/台班年</w:t>
      </w:r>
    </w:p>
    <w:p w14:paraId="58F74D69">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式中：Q</w:t>
      </w:r>
      <w:r>
        <w:rPr>
          <w:rFonts w:hint="eastAsia" w:asciiTheme="minorEastAsia" w:hAnsiTheme="minorEastAsia" w:eastAsiaTheme="minorEastAsia"/>
          <w:sz w:val="28"/>
          <w:szCs w:val="28"/>
          <w:vertAlign w:val="subscript"/>
        </w:rPr>
        <w:t>B</w:t>
      </w:r>
      <w:r>
        <w:rPr>
          <w:rFonts w:asciiTheme="minorEastAsia" w:hAnsiTheme="minorEastAsia" w:eastAsiaTheme="minorEastAsia"/>
          <w:sz w:val="28"/>
          <w:szCs w:val="28"/>
        </w:rPr>
        <w:t>—</w:t>
      </w:r>
      <w:r>
        <w:rPr>
          <w:rFonts w:hint="eastAsia" w:asciiTheme="minorEastAsia" w:hAnsiTheme="minorEastAsia" w:eastAsiaTheme="minorEastAsia"/>
          <w:sz w:val="28"/>
          <w:szCs w:val="28"/>
        </w:rPr>
        <w:t>挖掘机台班生产能力，m</w:t>
      </w:r>
      <w:r>
        <w:rPr>
          <w:rFonts w:hint="eastAsia" w:asciiTheme="minorEastAsia" w:hAnsiTheme="minorEastAsia" w:eastAsiaTheme="minorEastAsia"/>
          <w:sz w:val="28"/>
          <w:szCs w:val="28"/>
          <w:vertAlign w:val="superscript"/>
        </w:rPr>
        <w:t>3</w:t>
      </w:r>
      <w:r>
        <w:rPr>
          <w:rFonts w:hint="eastAsia" w:asciiTheme="minorEastAsia" w:hAnsiTheme="minorEastAsia" w:eastAsiaTheme="minorEastAsia"/>
          <w:sz w:val="28"/>
          <w:szCs w:val="28"/>
        </w:rPr>
        <w:t>/台班；</w:t>
      </w:r>
    </w:p>
    <w:p w14:paraId="0C5325FA">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T</w:t>
      </w:r>
      <w:r>
        <w:rPr>
          <w:rFonts w:asciiTheme="minorEastAsia" w:hAnsiTheme="minorEastAsia" w:eastAsiaTheme="minorEastAsia"/>
          <w:sz w:val="28"/>
          <w:szCs w:val="28"/>
        </w:rPr>
        <w:t>—</w:t>
      </w:r>
      <w:r>
        <w:rPr>
          <w:rFonts w:hint="eastAsia" w:asciiTheme="minorEastAsia" w:hAnsiTheme="minorEastAsia" w:eastAsiaTheme="minorEastAsia"/>
          <w:sz w:val="28"/>
          <w:szCs w:val="28"/>
        </w:rPr>
        <w:t>每班作业小时数，8h；</w:t>
      </w:r>
    </w:p>
    <w:p w14:paraId="5803926E">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E</w:t>
      </w:r>
      <w:r>
        <w:rPr>
          <w:rFonts w:asciiTheme="minorEastAsia" w:hAnsiTheme="minorEastAsia" w:eastAsiaTheme="minorEastAsia"/>
          <w:sz w:val="28"/>
          <w:szCs w:val="28"/>
        </w:rPr>
        <w:t>—</w:t>
      </w:r>
      <w:r>
        <w:rPr>
          <w:rFonts w:hint="eastAsia" w:asciiTheme="minorEastAsia" w:hAnsiTheme="minorEastAsia" w:eastAsiaTheme="minorEastAsia"/>
          <w:sz w:val="28"/>
          <w:szCs w:val="28"/>
        </w:rPr>
        <w:t>铲斗容积，m</w:t>
      </w:r>
      <w:r>
        <w:rPr>
          <w:rFonts w:hint="eastAsia" w:asciiTheme="minorEastAsia" w:hAnsiTheme="minorEastAsia" w:eastAsiaTheme="minorEastAsia"/>
          <w:sz w:val="28"/>
          <w:szCs w:val="28"/>
          <w:vertAlign w:val="superscript"/>
        </w:rPr>
        <w:t>3</w:t>
      </w:r>
      <w:r>
        <w:rPr>
          <w:rFonts w:hint="eastAsia" w:asciiTheme="minorEastAsia" w:hAnsiTheme="minorEastAsia" w:eastAsiaTheme="minorEastAsia"/>
          <w:sz w:val="28"/>
          <w:szCs w:val="28"/>
        </w:rPr>
        <w:t>，2.12m</w:t>
      </w:r>
      <w:r>
        <w:rPr>
          <w:rFonts w:hint="eastAsia" w:asciiTheme="minorEastAsia" w:hAnsiTheme="minorEastAsia" w:eastAsiaTheme="minorEastAsia"/>
          <w:sz w:val="28"/>
          <w:szCs w:val="28"/>
          <w:vertAlign w:val="superscript"/>
        </w:rPr>
        <w:t>3</w:t>
      </w:r>
      <w:r>
        <w:rPr>
          <w:rFonts w:hint="eastAsia" w:asciiTheme="minorEastAsia" w:hAnsiTheme="minorEastAsia" w:eastAsiaTheme="minorEastAsia"/>
          <w:sz w:val="28"/>
          <w:szCs w:val="28"/>
        </w:rPr>
        <w:t>；</w:t>
      </w:r>
    </w:p>
    <w:p w14:paraId="446F1AA6">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K</w:t>
      </w:r>
      <w:r>
        <w:rPr>
          <w:rFonts w:hint="eastAsia" w:asciiTheme="minorEastAsia" w:hAnsiTheme="minorEastAsia" w:eastAsiaTheme="minorEastAsia"/>
          <w:sz w:val="28"/>
          <w:szCs w:val="28"/>
          <w:vertAlign w:val="subscript"/>
        </w:rPr>
        <w:t>m</w:t>
      </w:r>
      <w:r>
        <w:rPr>
          <w:rFonts w:asciiTheme="minorEastAsia" w:hAnsiTheme="minorEastAsia" w:eastAsiaTheme="minorEastAsia"/>
          <w:sz w:val="28"/>
          <w:szCs w:val="28"/>
        </w:rPr>
        <w:t>—</w:t>
      </w:r>
      <w:r>
        <w:rPr>
          <w:rFonts w:hint="eastAsia" w:asciiTheme="minorEastAsia" w:hAnsiTheme="minorEastAsia" w:eastAsiaTheme="minorEastAsia"/>
          <w:sz w:val="28"/>
          <w:szCs w:val="28"/>
        </w:rPr>
        <w:t>铲斗装满系数，取0.9；</w:t>
      </w:r>
    </w:p>
    <w:p w14:paraId="248897A0">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η</w:t>
      </w:r>
      <w:r>
        <w:rPr>
          <w:rFonts w:asciiTheme="minorEastAsia" w:hAnsiTheme="minorEastAsia" w:eastAsiaTheme="minorEastAsia"/>
          <w:sz w:val="28"/>
          <w:szCs w:val="28"/>
        </w:rPr>
        <w:t>—</w:t>
      </w:r>
      <w:r>
        <w:rPr>
          <w:rFonts w:hint="eastAsia" w:asciiTheme="minorEastAsia" w:hAnsiTheme="minorEastAsia" w:eastAsiaTheme="minorEastAsia"/>
          <w:sz w:val="28"/>
          <w:szCs w:val="28"/>
        </w:rPr>
        <w:t>挖掘机工作时间利用系数，0.65；</w:t>
      </w:r>
    </w:p>
    <w:p w14:paraId="47EDDC2A">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t</w:t>
      </w:r>
      <w:r>
        <w:rPr>
          <w:rFonts w:asciiTheme="minorEastAsia" w:hAnsiTheme="minorEastAsia" w:eastAsiaTheme="minorEastAsia"/>
          <w:sz w:val="28"/>
          <w:szCs w:val="28"/>
        </w:rPr>
        <w:t>—</w:t>
      </w:r>
      <w:r>
        <w:rPr>
          <w:rFonts w:hint="eastAsia" w:asciiTheme="minorEastAsia" w:hAnsiTheme="minorEastAsia" w:eastAsiaTheme="minorEastAsia"/>
          <w:sz w:val="28"/>
          <w:szCs w:val="28"/>
        </w:rPr>
        <w:t>挖掘机装车的一次工作时间，30s；</w:t>
      </w:r>
    </w:p>
    <w:p w14:paraId="275F84E2">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K</w:t>
      </w:r>
      <w:r>
        <w:rPr>
          <w:rFonts w:hint="eastAsia" w:asciiTheme="minorEastAsia" w:hAnsiTheme="minorEastAsia" w:eastAsiaTheme="minorEastAsia"/>
          <w:sz w:val="28"/>
          <w:szCs w:val="28"/>
          <w:vertAlign w:val="subscript"/>
        </w:rPr>
        <w:t>s</w:t>
      </w:r>
      <w:r>
        <w:rPr>
          <w:rFonts w:asciiTheme="minorEastAsia" w:hAnsiTheme="minorEastAsia" w:eastAsiaTheme="minorEastAsia"/>
          <w:sz w:val="28"/>
          <w:szCs w:val="28"/>
        </w:rPr>
        <w:t>—</w:t>
      </w:r>
      <w:r>
        <w:rPr>
          <w:rFonts w:hint="eastAsia" w:asciiTheme="minorEastAsia" w:hAnsiTheme="minorEastAsia" w:eastAsiaTheme="minorEastAsia"/>
          <w:sz w:val="28"/>
          <w:szCs w:val="28"/>
        </w:rPr>
        <w:t>物料在铲斗中得的松散系数，取1.5。</w:t>
      </w:r>
    </w:p>
    <w:p w14:paraId="16B9BE1A">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Q</w:t>
      </w:r>
      <w:r>
        <w:rPr>
          <w:rFonts w:hint="eastAsia" w:asciiTheme="minorEastAsia" w:hAnsiTheme="minorEastAsia" w:eastAsiaTheme="minorEastAsia"/>
          <w:sz w:val="28"/>
          <w:szCs w:val="28"/>
          <w:vertAlign w:val="subscript"/>
        </w:rPr>
        <w:t>N</w:t>
      </w:r>
      <w:r>
        <w:rPr>
          <w:rFonts w:asciiTheme="minorEastAsia" w:hAnsiTheme="minorEastAsia" w:eastAsiaTheme="minorEastAsia"/>
          <w:sz w:val="28"/>
          <w:szCs w:val="28"/>
        </w:rPr>
        <w:t>—</w:t>
      </w:r>
      <w:r>
        <w:rPr>
          <w:rFonts w:hint="eastAsia" w:asciiTheme="minorEastAsia" w:hAnsiTheme="minorEastAsia" w:eastAsiaTheme="minorEastAsia"/>
          <w:sz w:val="28"/>
          <w:szCs w:val="28"/>
        </w:rPr>
        <w:t>挖掘机台班生产能力，m</w:t>
      </w:r>
      <w:r>
        <w:rPr>
          <w:rFonts w:hint="eastAsia" w:asciiTheme="minorEastAsia" w:hAnsiTheme="minorEastAsia" w:eastAsiaTheme="minorEastAsia"/>
          <w:sz w:val="28"/>
          <w:szCs w:val="28"/>
          <w:vertAlign w:val="superscript"/>
        </w:rPr>
        <w:t>3</w:t>
      </w:r>
      <w:r>
        <w:rPr>
          <w:rFonts w:hint="eastAsia" w:asciiTheme="minorEastAsia" w:hAnsiTheme="minorEastAsia" w:eastAsiaTheme="minorEastAsia"/>
          <w:sz w:val="28"/>
          <w:szCs w:val="28"/>
        </w:rPr>
        <w:t>/台班</w:t>
      </w:r>
      <w:r>
        <w:rPr>
          <w:rFonts w:asciiTheme="minorEastAsia" w:hAnsiTheme="minorEastAsia" w:eastAsiaTheme="minorEastAsia"/>
          <w:sz w:val="28"/>
          <w:szCs w:val="28"/>
        </w:rPr>
        <w:t>·</w:t>
      </w:r>
      <w:r>
        <w:rPr>
          <w:rFonts w:hint="eastAsia" w:asciiTheme="minorEastAsia" w:hAnsiTheme="minorEastAsia" w:eastAsiaTheme="minorEastAsia"/>
          <w:sz w:val="28"/>
          <w:szCs w:val="28"/>
        </w:rPr>
        <w:t>a；</w:t>
      </w:r>
    </w:p>
    <w:p w14:paraId="1C50F9B1">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N</w:t>
      </w:r>
      <w:r>
        <w:rPr>
          <w:rFonts w:asciiTheme="minorEastAsia" w:hAnsiTheme="minorEastAsia" w:eastAsiaTheme="minorEastAsia"/>
          <w:sz w:val="28"/>
          <w:szCs w:val="28"/>
        </w:rPr>
        <w:t>—</w:t>
      </w:r>
      <w:r>
        <w:rPr>
          <w:rFonts w:hint="eastAsia" w:asciiTheme="minorEastAsia" w:hAnsiTheme="minorEastAsia" w:eastAsiaTheme="minorEastAsia"/>
          <w:sz w:val="28"/>
          <w:szCs w:val="28"/>
        </w:rPr>
        <w:t>年工作天数，300d；</w:t>
      </w:r>
    </w:p>
    <w:p w14:paraId="707EE186">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n</w:t>
      </w:r>
      <w:r>
        <w:rPr>
          <w:rFonts w:asciiTheme="minorEastAsia" w:hAnsiTheme="minorEastAsia" w:eastAsiaTheme="minorEastAsia"/>
          <w:sz w:val="28"/>
          <w:szCs w:val="28"/>
        </w:rPr>
        <w:t>—</w:t>
      </w:r>
      <w:r>
        <w:rPr>
          <w:rFonts w:hint="eastAsia" w:asciiTheme="minorEastAsia" w:hAnsiTheme="minorEastAsia" w:eastAsiaTheme="minorEastAsia"/>
          <w:sz w:val="28"/>
          <w:szCs w:val="28"/>
        </w:rPr>
        <w:t>日工作班数，1班；</w:t>
      </w:r>
    </w:p>
    <w:bookmarkEnd w:id="205"/>
    <w:p w14:paraId="6B0B5149">
      <w:pPr>
        <w:autoSpaceDE w:val="0"/>
        <w:autoSpaceDN w:val="0"/>
        <w:adjustRightInd w:val="0"/>
        <w:spacing w:line="360" w:lineRule="auto"/>
        <w:jc w:val="center"/>
        <w:rPr>
          <w:rFonts w:ascii="宋体" w:hAnsi="宋体" w:cs="仿宋_GB2312"/>
          <w:b/>
          <w:kern w:val="0"/>
          <w:szCs w:val="21"/>
        </w:rPr>
      </w:pPr>
      <w:r>
        <w:rPr>
          <w:rFonts w:hint="eastAsia" w:ascii="宋体" w:hAnsi="宋体" w:cs="仿宋_GB2312"/>
          <w:b/>
          <w:kern w:val="0"/>
          <w:szCs w:val="21"/>
        </w:rPr>
        <w:t>表4</w:t>
      </w:r>
      <w:r>
        <w:rPr>
          <w:rFonts w:ascii="宋体" w:hAnsi="宋体" w:cs="仿宋_GB2312"/>
          <w:b/>
          <w:kern w:val="0"/>
          <w:szCs w:val="21"/>
        </w:rPr>
        <w:t>-</w:t>
      </w:r>
      <w:r>
        <w:rPr>
          <w:rFonts w:hint="eastAsia" w:ascii="宋体" w:hAnsi="宋体" w:cs="仿宋_GB2312"/>
          <w:b/>
          <w:kern w:val="0"/>
          <w:szCs w:val="21"/>
        </w:rPr>
        <w:t>6   自卸汽车参数一览表</w:t>
      </w:r>
    </w:p>
    <w:tbl>
      <w:tblPr>
        <w:tblStyle w:val="42"/>
        <w:tblW w:w="42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5"/>
        <w:gridCol w:w="2259"/>
        <w:gridCol w:w="1174"/>
        <w:gridCol w:w="2215"/>
        <w:gridCol w:w="1271"/>
      </w:tblGrid>
      <w:tr w14:paraId="68C0B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0C34A1B4">
            <w:pPr>
              <w:autoSpaceDE w:val="0"/>
              <w:autoSpaceDN w:val="0"/>
              <w:adjustRightInd w:val="0"/>
              <w:jc w:val="center"/>
              <w:rPr>
                <w:rFonts w:cs="仿宋_GB2312" w:asciiTheme="minorEastAsia" w:hAnsiTheme="minorEastAsia" w:eastAsiaTheme="minorEastAsia"/>
                <w:b/>
                <w:kern w:val="0"/>
                <w:szCs w:val="21"/>
              </w:rPr>
            </w:pPr>
            <w:r>
              <w:rPr>
                <w:rFonts w:hint="eastAsia" w:cs="仿宋_GB2312" w:asciiTheme="minorEastAsia" w:hAnsiTheme="minorEastAsia" w:eastAsiaTheme="minorEastAsia"/>
                <w:b/>
                <w:kern w:val="0"/>
                <w:szCs w:val="21"/>
              </w:rPr>
              <w:t>序号</w:t>
            </w:r>
          </w:p>
        </w:tc>
        <w:tc>
          <w:tcPr>
            <w:tcW w:w="1493" w:type="pct"/>
            <w:vAlign w:val="center"/>
          </w:tcPr>
          <w:p w14:paraId="3A6EC03F">
            <w:pPr>
              <w:autoSpaceDE w:val="0"/>
              <w:autoSpaceDN w:val="0"/>
              <w:adjustRightInd w:val="0"/>
              <w:jc w:val="center"/>
              <w:rPr>
                <w:rFonts w:cs="仿宋_GB2312" w:asciiTheme="minorEastAsia" w:hAnsiTheme="minorEastAsia" w:eastAsiaTheme="minorEastAsia"/>
                <w:b/>
                <w:kern w:val="0"/>
                <w:szCs w:val="21"/>
              </w:rPr>
            </w:pPr>
            <w:r>
              <w:rPr>
                <w:rFonts w:hint="eastAsia" w:cs="仿宋_GB2312" w:asciiTheme="minorEastAsia" w:hAnsiTheme="minorEastAsia" w:eastAsiaTheme="minorEastAsia"/>
                <w:b/>
                <w:kern w:val="0"/>
                <w:szCs w:val="21"/>
              </w:rPr>
              <w:t>计算项目</w:t>
            </w:r>
          </w:p>
        </w:tc>
        <w:tc>
          <w:tcPr>
            <w:tcW w:w="776" w:type="pct"/>
            <w:vAlign w:val="center"/>
          </w:tcPr>
          <w:p w14:paraId="18C6744F">
            <w:pPr>
              <w:autoSpaceDE w:val="0"/>
              <w:autoSpaceDN w:val="0"/>
              <w:adjustRightInd w:val="0"/>
              <w:jc w:val="center"/>
              <w:rPr>
                <w:rFonts w:cs="仿宋_GB2312" w:asciiTheme="minorEastAsia" w:hAnsiTheme="minorEastAsia" w:eastAsiaTheme="minorEastAsia"/>
                <w:b/>
                <w:kern w:val="0"/>
                <w:szCs w:val="21"/>
              </w:rPr>
            </w:pPr>
            <w:r>
              <w:rPr>
                <w:rFonts w:hint="eastAsia" w:cs="仿宋_GB2312" w:asciiTheme="minorEastAsia" w:hAnsiTheme="minorEastAsia" w:eastAsiaTheme="minorEastAsia"/>
                <w:b/>
                <w:kern w:val="0"/>
                <w:szCs w:val="21"/>
              </w:rPr>
              <w:t>单位</w:t>
            </w:r>
          </w:p>
        </w:tc>
        <w:tc>
          <w:tcPr>
            <w:tcW w:w="1464" w:type="pct"/>
            <w:vAlign w:val="center"/>
          </w:tcPr>
          <w:p w14:paraId="6B263D5F">
            <w:pPr>
              <w:autoSpaceDE w:val="0"/>
              <w:autoSpaceDN w:val="0"/>
              <w:adjustRightInd w:val="0"/>
              <w:jc w:val="center"/>
              <w:rPr>
                <w:rFonts w:cs="仿宋_GB2312" w:asciiTheme="minorEastAsia" w:hAnsiTheme="minorEastAsia" w:eastAsiaTheme="minorEastAsia"/>
                <w:b/>
                <w:kern w:val="0"/>
                <w:szCs w:val="21"/>
              </w:rPr>
            </w:pPr>
            <w:r>
              <w:rPr>
                <w:rFonts w:hint="eastAsia" w:cs="仿宋_GB2312" w:asciiTheme="minorEastAsia" w:hAnsiTheme="minorEastAsia" w:eastAsiaTheme="minorEastAsia"/>
                <w:b/>
                <w:kern w:val="0"/>
                <w:szCs w:val="21"/>
              </w:rPr>
              <w:t>计算符号及公式</w:t>
            </w:r>
          </w:p>
        </w:tc>
        <w:tc>
          <w:tcPr>
            <w:tcW w:w="840" w:type="pct"/>
            <w:vAlign w:val="center"/>
          </w:tcPr>
          <w:p w14:paraId="0C7DF4AC">
            <w:pPr>
              <w:autoSpaceDE w:val="0"/>
              <w:autoSpaceDN w:val="0"/>
              <w:adjustRightInd w:val="0"/>
              <w:jc w:val="center"/>
              <w:rPr>
                <w:rFonts w:cs="仿宋_GB2312" w:asciiTheme="minorEastAsia" w:hAnsiTheme="minorEastAsia" w:eastAsiaTheme="minorEastAsia"/>
                <w:b/>
                <w:kern w:val="0"/>
                <w:szCs w:val="21"/>
              </w:rPr>
            </w:pPr>
          </w:p>
        </w:tc>
      </w:tr>
      <w:tr w14:paraId="29838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6ADEB911">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w:t>
            </w:r>
          </w:p>
        </w:tc>
        <w:tc>
          <w:tcPr>
            <w:tcW w:w="1493" w:type="pct"/>
            <w:vAlign w:val="center"/>
          </w:tcPr>
          <w:p w14:paraId="7CA9B277">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矿山年工作天数</w:t>
            </w:r>
          </w:p>
        </w:tc>
        <w:tc>
          <w:tcPr>
            <w:tcW w:w="776" w:type="pct"/>
            <w:vAlign w:val="center"/>
          </w:tcPr>
          <w:p w14:paraId="2FB38A77">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天</w:t>
            </w:r>
          </w:p>
        </w:tc>
        <w:tc>
          <w:tcPr>
            <w:tcW w:w="1464" w:type="pct"/>
            <w:vAlign w:val="center"/>
          </w:tcPr>
          <w:p w14:paraId="123DFF12">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S</w:t>
            </w:r>
          </w:p>
        </w:tc>
        <w:tc>
          <w:tcPr>
            <w:tcW w:w="840" w:type="pct"/>
            <w:vAlign w:val="center"/>
          </w:tcPr>
          <w:p w14:paraId="6D3A4B33">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300</w:t>
            </w:r>
          </w:p>
        </w:tc>
      </w:tr>
      <w:tr w14:paraId="5780A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05B6A786">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2</w:t>
            </w:r>
          </w:p>
        </w:tc>
        <w:tc>
          <w:tcPr>
            <w:tcW w:w="1493" w:type="pct"/>
            <w:vAlign w:val="center"/>
          </w:tcPr>
          <w:p w14:paraId="28B0ACC5">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矿山每天工作班数</w:t>
            </w:r>
          </w:p>
        </w:tc>
        <w:tc>
          <w:tcPr>
            <w:tcW w:w="776" w:type="pct"/>
            <w:vAlign w:val="center"/>
          </w:tcPr>
          <w:p w14:paraId="765BCAAA">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班/天</w:t>
            </w:r>
          </w:p>
        </w:tc>
        <w:tc>
          <w:tcPr>
            <w:tcW w:w="1464" w:type="pct"/>
            <w:vAlign w:val="center"/>
          </w:tcPr>
          <w:p w14:paraId="0D478F76">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C</w:t>
            </w:r>
          </w:p>
        </w:tc>
        <w:tc>
          <w:tcPr>
            <w:tcW w:w="840" w:type="pct"/>
            <w:vAlign w:val="center"/>
          </w:tcPr>
          <w:p w14:paraId="4EA81706">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w:t>
            </w:r>
          </w:p>
        </w:tc>
      </w:tr>
      <w:tr w14:paraId="54E19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5FA6CA88">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3</w:t>
            </w:r>
          </w:p>
        </w:tc>
        <w:tc>
          <w:tcPr>
            <w:tcW w:w="1493" w:type="pct"/>
            <w:vAlign w:val="center"/>
          </w:tcPr>
          <w:p w14:paraId="42838E9C">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汽车额定载重量</w:t>
            </w:r>
          </w:p>
        </w:tc>
        <w:tc>
          <w:tcPr>
            <w:tcW w:w="776" w:type="pct"/>
            <w:vAlign w:val="center"/>
          </w:tcPr>
          <w:p w14:paraId="743E2ED6">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t</w:t>
            </w:r>
          </w:p>
        </w:tc>
        <w:tc>
          <w:tcPr>
            <w:tcW w:w="1464" w:type="pct"/>
            <w:vAlign w:val="center"/>
          </w:tcPr>
          <w:p w14:paraId="344CF4E6">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G</w:t>
            </w:r>
          </w:p>
        </w:tc>
        <w:tc>
          <w:tcPr>
            <w:tcW w:w="840" w:type="pct"/>
            <w:vAlign w:val="center"/>
          </w:tcPr>
          <w:p w14:paraId="5A7218F5">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25</w:t>
            </w:r>
          </w:p>
        </w:tc>
      </w:tr>
      <w:tr w14:paraId="0869F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5DCD12E3">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w:t>
            </w:r>
          </w:p>
        </w:tc>
        <w:tc>
          <w:tcPr>
            <w:tcW w:w="1493" w:type="pct"/>
            <w:vAlign w:val="center"/>
          </w:tcPr>
          <w:p w14:paraId="165AD5EE">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载重利用系数</w:t>
            </w:r>
          </w:p>
        </w:tc>
        <w:tc>
          <w:tcPr>
            <w:tcW w:w="776" w:type="pct"/>
            <w:vAlign w:val="center"/>
          </w:tcPr>
          <w:p w14:paraId="0398FD31">
            <w:pPr>
              <w:autoSpaceDE w:val="0"/>
              <w:autoSpaceDN w:val="0"/>
              <w:adjustRightInd w:val="0"/>
              <w:jc w:val="center"/>
              <w:rPr>
                <w:rFonts w:cs="仿宋_GB2312" w:asciiTheme="minorEastAsia" w:hAnsiTheme="minorEastAsia" w:eastAsiaTheme="minorEastAsia"/>
                <w:kern w:val="0"/>
                <w:szCs w:val="21"/>
              </w:rPr>
            </w:pPr>
          </w:p>
        </w:tc>
        <w:tc>
          <w:tcPr>
            <w:tcW w:w="1464" w:type="pct"/>
            <w:vAlign w:val="center"/>
          </w:tcPr>
          <w:p w14:paraId="66124276">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K1</w:t>
            </w:r>
          </w:p>
        </w:tc>
        <w:tc>
          <w:tcPr>
            <w:tcW w:w="840" w:type="pct"/>
            <w:vAlign w:val="center"/>
          </w:tcPr>
          <w:p w14:paraId="46E4D2DA">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0.9</w:t>
            </w:r>
          </w:p>
        </w:tc>
      </w:tr>
      <w:tr w14:paraId="71BF7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417C6399">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5</w:t>
            </w:r>
          </w:p>
        </w:tc>
        <w:tc>
          <w:tcPr>
            <w:tcW w:w="1493" w:type="pct"/>
            <w:vAlign w:val="center"/>
          </w:tcPr>
          <w:p w14:paraId="7C56918D">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运输不均衡系数</w:t>
            </w:r>
          </w:p>
        </w:tc>
        <w:tc>
          <w:tcPr>
            <w:tcW w:w="776" w:type="pct"/>
            <w:vAlign w:val="center"/>
          </w:tcPr>
          <w:p w14:paraId="722E614B">
            <w:pPr>
              <w:autoSpaceDE w:val="0"/>
              <w:autoSpaceDN w:val="0"/>
              <w:adjustRightInd w:val="0"/>
              <w:jc w:val="center"/>
              <w:rPr>
                <w:rFonts w:cs="仿宋_GB2312" w:asciiTheme="minorEastAsia" w:hAnsiTheme="minorEastAsia" w:eastAsiaTheme="minorEastAsia"/>
                <w:kern w:val="0"/>
                <w:szCs w:val="21"/>
              </w:rPr>
            </w:pPr>
          </w:p>
        </w:tc>
        <w:tc>
          <w:tcPr>
            <w:tcW w:w="1464" w:type="pct"/>
            <w:vAlign w:val="center"/>
          </w:tcPr>
          <w:p w14:paraId="1053789D">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K</w:t>
            </w:r>
          </w:p>
        </w:tc>
        <w:tc>
          <w:tcPr>
            <w:tcW w:w="840" w:type="pct"/>
            <w:vAlign w:val="center"/>
          </w:tcPr>
          <w:p w14:paraId="0BFBF6A1">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1.1</w:t>
            </w:r>
          </w:p>
        </w:tc>
      </w:tr>
      <w:tr w14:paraId="03EF4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659F86AA">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6</w:t>
            </w:r>
          </w:p>
        </w:tc>
        <w:tc>
          <w:tcPr>
            <w:tcW w:w="1493" w:type="pct"/>
            <w:vAlign w:val="center"/>
          </w:tcPr>
          <w:p w14:paraId="6941F0AE">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平均单程运输距离</w:t>
            </w:r>
          </w:p>
        </w:tc>
        <w:tc>
          <w:tcPr>
            <w:tcW w:w="776" w:type="pct"/>
            <w:vAlign w:val="center"/>
          </w:tcPr>
          <w:p w14:paraId="4419F6EE">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公里</w:t>
            </w:r>
          </w:p>
        </w:tc>
        <w:tc>
          <w:tcPr>
            <w:tcW w:w="1464" w:type="pct"/>
            <w:vAlign w:val="center"/>
          </w:tcPr>
          <w:p w14:paraId="7835DDCA">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L</w:t>
            </w:r>
          </w:p>
        </w:tc>
        <w:tc>
          <w:tcPr>
            <w:tcW w:w="840" w:type="pct"/>
            <w:vAlign w:val="center"/>
          </w:tcPr>
          <w:p w14:paraId="321C4C3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1.5</w:t>
            </w:r>
          </w:p>
        </w:tc>
      </w:tr>
      <w:tr w14:paraId="3EDC3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006D7A8D">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7</w:t>
            </w:r>
          </w:p>
        </w:tc>
        <w:tc>
          <w:tcPr>
            <w:tcW w:w="1493" w:type="pct"/>
            <w:vAlign w:val="center"/>
          </w:tcPr>
          <w:p w14:paraId="08DBF7FE">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平均运行速度</w:t>
            </w:r>
          </w:p>
        </w:tc>
        <w:tc>
          <w:tcPr>
            <w:tcW w:w="776" w:type="pct"/>
            <w:vAlign w:val="center"/>
          </w:tcPr>
          <w:p w14:paraId="275459CC">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公里/h</w:t>
            </w:r>
          </w:p>
        </w:tc>
        <w:tc>
          <w:tcPr>
            <w:tcW w:w="1464" w:type="pct"/>
            <w:vAlign w:val="center"/>
          </w:tcPr>
          <w:p w14:paraId="7F0DE7CB">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V</w:t>
            </w:r>
          </w:p>
        </w:tc>
        <w:tc>
          <w:tcPr>
            <w:tcW w:w="840" w:type="pct"/>
            <w:vAlign w:val="center"/>
          </w:tcPr>
          <w:p w14:paraId="5F69348A">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15</w:t>
            </w:r>
          </w:p>
        </w:tc>
      </w:tr>
      <w:tr w14:paraId="75239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2A117561">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8</w:t>
            </w:r>
          </w:p>
        </w:tc>
        <w:tc>
          <w:tcPr>
            <w:tcW w:w="1493" w:type="pct"/>
            <w:vAlign w:val="center"/>
          </w:tcPr>
          <w:p w14:paraId="3EB54DA9">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装车时间</w:t>
            </w:r>
          </w:p>
        </w:tc>
        <w:tc>
          <w:tcPr>
            <w:tcW w:w="776" w:type="pct"/>
            <w:vAlign w:val="center"/>
          </w:tcPr>
          <w:p w14:paraId="39026172">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分</w:t>
            </w:r>
          </w:p>
        </w:tc>
        <w:tc>
          <w:tcPr>
            <w:tcW w:w="1464" w:type="pct"/>
            <w:vAlign w:val="center"/>
          </w:tcPr>
          <w:p w14:paraId="7FF0EB0F">
            <w:pPr>
              <w:autoSpaceDE w:val="0"/>
              <w:autoSpaceDN w:val="0"/>
              <w:adjustRightInd w:val="0"/>
              <w:jc w:val="center"/>
              <w:rPr>
                <w:rFonts w:cs="仿宋_GB2312" w:asciiTheme="minorEastAsia" w:hAnsiTheme="minorEastAsia" w:eastAsiaTheme="minorEastAsia"/>
                <w:kern w:val="0"/>
                <w:szCs w:val="21"/>
              </w:rPr>
            </w:pPr>
            <w:r>
              <w:rPr>
                <w:rFonts w:cs="仿宋_GB2312" w:asciiTheme="minorEastAsia" w:hAnsiTheme="minorEastAsia" w:eastAsiaTheme="minorEastAsia"/>
                <w:kern w:val="0"/>
                <w:szCs w:val="21"/>
              </w:rPr>
              <w:t>t</w:t>
            </w:r>
            <w:r>
              <w:rPr>
                <w:rFonts w:hint="eastAsia" w:cs="仿宋_GB2312" w:asciiTheme="minorEastAsia" w:hAnsiTheme="minorEastAsia" w:eastAsiaTheme="minorEastAsia"/>
                <w:kern w:val="0"/>
                <w:szCs w:val="21"/>
              </w:rPr>
              <w:t>装</w:t>
            </w:r>
          </w:p>
        </w:tc>
        <w:tc>
          <w:tcPr>
            <w:tcW w:w="840" w:type="pct"/>
            <w:vAlign w:val="center"/>
          </w:tcPr>
          <w:p w14:paraId="11A6DE9D">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5</w:t>
            </w:r>
          </w:p>
        </w:tc>
      </w:tr>
      <w:tr w14:paraId="3E7F4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04451496">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9</w:t>
            </w:r>
          </w:p>
        </w:tc>
        <w:tc>
          <w:tcPr>
            <w:tcW w:w="1493" w:type="pct"/>
            <w:vAlign w:val="center"/>
          </w:tcPr>
          <w:p w14:paraId="03F0CC2A">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运行时间</w:t>
            </w:r>
          </w:p>
        </w:tc>
        <w:tc>
          <w:tcPr>
            <w:tcW w:w="776" w:type="pct"/>
            <w:vAlign w:val="center"/>
          </w:tcPr>
          <w:p w14:paraId="7C07E497">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分</w:t>
            </w:r>
          </w:p>
        </w:tc>
        <w:tc>
          <w:tcPr>
            <w:tcW w:w="1464" w:type="pct"/>
            <w:vAlign w:val="center"/>
          </w:tcPr>
          <w:p w14:paraId="21DE475B">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t运=2L×60/V</w:t>
            </w:r>
          </w:p>
        </w:tc>
        <w:tc>
          <w:tcPr>
            <w:tcW w:w="840" w:type="pct"/>
            <w:vAlign w:val="center"/>
          </w:tcPr>
          <w:p w14:paraId="33FAC11C">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12</w:t>
            </w:r>
          </w:p>
        </w:tc>
      </w:tr>
      <w:tr w14:paraId="36DD7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473BC80F">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10</w:t>
            </w:r>
          </w:p>
        </w:tc>
        <w:tc>
          <w:tcPr>
            <w:tcW w:w="1493" w:type="pct"/>
            <w:vAlign w:val="center"/>
          </w:tcPr>
          <w:p w14:paraId="08D17D1A">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卸载时间</w:t>
            </w:r>
          </w:p>
        </w:tc>
        <w:tc>
          <w:tcPr>
            <w:tcW w:w="776" w:type="pct"/>
            <w:vAlign w:val="center"/>
          </w:tcPr>
          <w:p w14:paraId="400B13BE">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分</w:t>
            </w:r>
          </w:p>
        </w:tc>
        <w:tc>
          <w:tcPr>
            <w:tcW w:w="1464" w:type="pct"/>
            <w:vAlign w:val="center"/>
          </w:tcPr>
          <w:p w14:paraId="388E5EBE">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t卸</w:t>
            </w:r>
          </w:p>
        </w:tc>
        <w:tc>
          <w:tcPr>
            <w:tcW w:w="840" w:type="pct"/>
            <w:vAlign w:val="center"/>
          </w:tcPr>
          <w:p w14:paraId="08C34E81">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3</w:t>
            </w:r>
          </w:p>
        </w:tc>
      </w:tr>
      <w:tr w14:paraId="5B457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24378AD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11</w:t>
            </w:r>
          </w:p>
        </w:tc>
        <w:tc>
          <w:tcPr>
            <w:tcW w:w="1493" w:type="pct"/>
            <w:vAlign w:val="center"/>
          </w:tcPr>
          <w:p w14:paraId="5DAD90E6">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调头及其它</w:t>
            </w:r>
          </w:p>
        </w:tc>
        <w:tc>
          <w:tcPr>
            <w:tcW w:w="776" w:type="pct"/>
            <w:vAlign w:val="center"/>
          </w:tcPr>
          <w:p w14:paraId="6E6363AC">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分</w:t>
            </w:r>
          </w:p>
        </w:tc>
        <w:tc>
          <w:tcPr>
            <w:tcW w:w="1464" w:type="pct"/>
            <w:vAlign w:val="center"/>
          </w:tcPr>
          <w:p w14:paraId="601C0033">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t调等</w:t>
            </w:r>
          </w:p>
        </w:tc>
        <w:tc>
          <w:tcPr>
            <w:tcW w:w="840" w:type="pct"/>
            <w:vAlign w:val="center"/>
          </w:tcPr>
          <w:p w14:paraId="3328382B">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7</w:t>
            </w:r>
          </w:p>
        </w:tc>
      </w:tr>
      <w:tr w14:paraId="18D47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334C7499">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12</w:t>
            </w:r>
          </w:p>
        </w:tc>
        <w:tc>
          <w:tcPr>
            <w:tcW w:w="1493" w:type="pct"/>
            <w:vAlign w:val="center"/>
          </w:tcPr>
          <w:p w14:paraId="4A65DCAA">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汽车周转一次时间</w:t>
            </w:r>
          </w:p>
        </w:tc>
        <w:tc>
          <w:tcPr>
            <w:tcW w:w="776" w:type="pct"/>
            <w:vAlign w:val="center"/>
          </w:tcPr>
          <w:p w14:paraId="13CBFC8C">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分</w:t>
            </w:r>
          </w:p>
        </w:tc>
        <w:tc>
          <w:tcPr>
            <w:tcW w:w="1464" w:type="pct"/>
            <w:vAlign w:val="center"/>
          </w:tcPr>
          <w:p w14:paraId="442FFCFC">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t=</w:t>
            </w:r>
            <w:r>
              <w:rPr>
                <w:rFonts w:cs="仿宋_GB2312" w:asciiTheme="minorEastAsia" w:hAnsiTheme="minorEastAsia" w:eastAsiaTheme="minorEastAsia"/>
                <w:kern w:val="0"/>
                <w:szCs w:val="21"/>
              </w:rPr>
              <w:t>t</w:t>
            </w:r>
            <w:r>
              <w:rPr>
                <w:rFonts w:hint="eastAsia" w:cs="仿宋_GB2312" w:asciiTheme="minorEastAsia" w:hAnsiTheme="minorEastAsia" w:eastAsiaTheme="minorEastAsia"/>
                <w:kern w:val="0"/>
                <w:szCs w:val="21"/>
              </w:rPr>
              <w:t>装+t卸+t运+t调等</w:t>
            </w:r>
          </w:p>
        </w:tc>
        <w:tc>
          <w:tcPr>
            <w:tcW w:w="840" w:type="pct"/>
            <w:vAlign w:val="center"/>
          </w:tcPr>
          <w:p w14:paraId="2395BD89">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15</w:t>
            </w:r>
          </w:p>
        </w:tc>
      </w:tr>
      <w:tr w14:paraId="50BC3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7DB18FF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13</w:t>
            </w:r>
          </w:p>
        </w:tc>
        <w:tc>
          <w:tcPr>
            <w:tcW w:w="1493" w:type="pct"/>
            <w:vAlign w:val="center"/>
          </w:tcPr>
          <w:p w14:paraId="152BEEC8">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汽车实际载重</w:t>
            </w:r>
          </w:p>
        </w:tc>
        <w:tc>
          <w:tcPr>
            <w:tcW w:w="776" w:type="pct"/>
            <w:vAlign w:val="center"/>
          </w:tcPr>
          <w:p w14:paraId="35D4A450">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t</w:t>
            </w:r>
          </w:p>
        </w:tc>
        <w:tc>
          <w:tcPr>
            <w:tcW w:w="1464" w:type="pct"/>
            <w:vAlign w:val="center"/>
          </w:tcPr>
          <w:p w14:paraId="5FE8ACF6">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Q1＝GK1</w:t>
            </w:r>
          </w:p>
        </w:tc>
        <w:tc>
          <w:tcPr>
            <w:tcW w:w="840" w:type="pct"/>
            <w:vAlign w:val="center"/>
          </w:tcPr>
          <w:p w14:paraId="3D34DE23">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22.5</w:t>
            </w:r>
          </w:p>
        </w:tc>
      </w:tr>
      <w:tr w14:paraId="789D9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6431B55D">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14</w:t>
            </w:r>
          </w:p>
        </w:tc>
        <w:tc>
          <w:tcPr>
            <w:tcW w:w="1493" w:type="pct"/>
            <w:vAlign w:val="center"/>
          </w:tcPr>
          <w:p w14:paraId="2A6D12EA">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每班工作时间</w:t>
            </w:r>
          </w:p>
        </w:tc>
        <w:tc>
          <w:tcPr>
            <w:tcW w:w="776" w:type="pct"/>
            <w:vAlign w:val="center"/>
          </w:tcPr>
          <w:p w14:paraId="231CE9B9">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h</w:t>
            </w:r>
          </w:p>
        </w:tc>
        <w:tc>
          <w:tcPr>
            <w:tcW w:w="1464" w:type="pct"/>
            <w:vAlign w:val="center"/>
          </w:tcPr>
          <w:p w14:paraId="70AB8932">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T</w:t>
            </w:r>
          </w:p>
        </w:tc>
        <w:tc>
          <w:tcPr>
            <w:tcW w:w="840" w:type="pct"/>
            <w:vAlign w:val="center"/>
          </w:tcPr>
          <w:p w14:paraId="27B42503">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8</w:t>
            </w:r>
          </w:p>
        </w:tc>
      </w:tr>
      <w:tr w14:paraId="6D500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4F04004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15</w:t>
            </w:r>
          </w:p>
        </w:tc>
        <w:tc>
          <w:tcPr>
            <w:tcW w:w="1493" w:type="pct"/>
            <w:vAlign w:val="center"/>
          </w:tcPr>
          <w:p w14:paraId="67129F1B">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班工作时间利用系数</w:t>
            </w:r>
          </w:p>
        </w:tc>
        <w:tc>
          <w:tcPr>
            <w:tcW w:w="776" w:type="pct"/>
            <w:vAlign w:val="center"/>
          </w:tcPr>
          <w:p w14:paraId="289AC0F8">
            <w:pPr>
              <w:autoSpaceDE w:val="0"/>
              <w:autoSpaceDN w:val="0"/>
              <w:adjustRightInd w:val="0"/>
              <w:jc w:val="center"/>
              <w:rPr>
                <w:rFonts w:cs="仿宋_GB2312" w:asciiTheme="minorEastAsia" w:hAnsiTheme="minorEastAsia" w:eastAsiaTheme="minorEastAsia"/>
                <w:kern w:val="0"/>
                <w:szCs w:val="21"/>
              </w:rPr>
            </w:pPr>
          </w:p>
        </w:tc>
        <w:tc>
          <w:tcPr>
            <w:tcW w:w="1464" w:type="pct"/>
            <w:vAlign w:val="center"/>
          </w:tcPr>
          <w:p w14:paraId="2E97AC6D">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K2</w:t>
            </w:r>
          </w:p>
        </w:tc>
        <w:tc>
          <w:tcPr>
            <w:tcW w:w="840" w:type="pct"/>
            <w:vAlign w:val="center"/>
          </w:tcPr>
          <w:p w14:paraId="2B0374A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0.8</w:t>
            </w:r>
          </w:p>
        </w:tc>
      </w:tr>
      <w:tr w14:paraId="71057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47E44B64">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16</w:t>
            </w:r>
          </w:p>
        </w:tc>
        <w:tc>
          <w:tcPr>
            <w:tcW w:w="1493" w:type="pct"/>
            <w:vAlign w:val="center"/>
          </w:tcPr>
          <w:p w14:paraId="5B0B675E">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台班运输次数</w:t>
            </w:r>
          </w:p>
        </w:tc>
        <w:tc>
          <w:tcPr>
            <w:tcW w:w="776" w:type="pct"/>
            <w:vAlign w:val="center"/>
          </w:tcPr>
          <w:p w14:paraId="7F8F6372">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次</w:t>
            </w:r>
          </w:p>
        </w:tc>
        <w:tc>
          <w:tcPr>
            <w:tcW w:w="1464" w:type="pct"/>
            <w:vAlign w:val="center"/>
          </w:tcPr>
          <w:p w14:paraId="41B298CE">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η=60×K2×T/t</w:t>
            </w:r>
          </w:p>
        </w:tc>
        <w:tc>
          <w:tcPr>
            <w:tcW w:w="840" w:type="pct"/>
            <w:vAlign w:val="center"/>
          </w:tcPr>
          <w:p w14:paraId="3BB0F6EB">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25.6</w:t>
            </w:r>
          </w:p>
        </w:tc>
      </w:tr>
      <w:tr w14:paraId="2FFDC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7E76D2D9">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17</w:t>
            </w:r>
          </w:p>
        </w:tc>
        <w:tc>
          <w:tcPr>
            <w:tcW w:w="1493" w:type="pct"/>
            <w:vAlign w:val="center"/>
          </w:tcPr>
          <w:p w14:paraId="45B21EF8">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单车台班运输能力</w:t>
            </w:r>
          </w:p>
        </w:tc>
        <w:tc>
          <w:tcPr>
            <w:tcW w:w="776" w:type="pct"/>
            <w:vAlign w:val="center"/>
          </w:tcPr>
          <w:p w14:paraId="3F9027CC">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t/台班</w:t>
            </w:r>
          </w:p>
        </w:tc>
        <w:tc>
          <w:tcPr>
            <w:tcW w:w="1464" w:type="pct"/>
            <w:vAlign w:val="center"/>
          </w:tcPr>
          <w:p w14:paraId="22F0A25F">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A=η×Q1</w:t>
            </w:r>
          </w:p>
        </w:tc>
        <w:tc>
          <w:tcPr>
            <w:tcW w:w="840" w:type="pct"/>
            <w:vAlign w:val="center"/>
          </w:tcPr>
          <w:p w14:paraId="284986A1">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576</w:t>
            </w:r>
          </w:p>
        </w:tc>
      </w:tr>
      <w:tr w14:paraId="2A0AA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6FBACDF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18</w:t>
            </w:r>
          </w:p>
        </w:tc>
        <w:tc>
          <w:tcPr>
            <w:tcW w:w="1493" w:type="pct"/>
            <w:vAlign w:val="center"/>
          </w:tcPr>
          <w:p w14:paraId="26F2C7DD">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矿山班产量</w:t>
            </w:r>
          </w:p>
        </w:tc>
        <w:tc>
          <w:tcPr>
            <w:tcW w:w="776" w:type="pct"/>
            <w:vAlign w:val="center"/>
          </w:tcPr>
          <w:p w14:paraId="73EEC8D0">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m</w:t>
            </w:r>
            <w:r>
              <w:rPr>
                <w:rFonts w:hint="eastAsia" w:cs="仿宋_GB2312" w:asciiTheme="minorEastAsia" w:hAnsiTheme="minorEastAsia" w:eastAsiaTheme="minorEastAsia"/>
                <w:kern w:val="0"/>
                <w:szCs w:val="21"/>
                <w:vertAlign w:val="superscript"/>
              </w:rPr>
              <w:t>3</w:t>
            </w:r>
          </w:p>
        </w:tc>
        <w:tc>
          <w:tcPr>
            <w:tcW w:w="1464" w:type="pct"/>
            <w:vAlign w:val="center"/>
          </w:tcPr>
          <w:p w14:paraId="257E408C">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Q班</w:t>
            </w:r>
          </w:p>
        </w:tc>
        <w:tc>
          <w:tcPr>
            <w:tcW w:w="840" w:type="pct"/>
            <w:vAlign w:val="center"/>
          </w:tcPr>
          <w:p w14:paraId="0002E7AD">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1587.456</w:t>
            </w:r>
          </w:p>
        </w:tc>
      </w:tr>
      <w:tr w14:paraId="1764D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3C56F18D">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19</w:t>
            </w:r>
          </w:p>
        </w:tc>
        <w:tc>
          <w:tcPr>
            <w:tcW w:w="1493" w:type="pct"/>
            <w:vAlign w:val="center"/>
          </w:tcPr>
          <w:p w14:paraId="382DE8A4">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汽车出车率</w:t>
            </w:r>
          </w:p>
        </w:tc>
        <w:tc>
          <w:tcPr>
            <w:tcW w:w="776" w:type="pct"/>
            <w:vAlign w:val="center"/>
          </w:tcPr>
          <w:p w14:paraId="1B4007B1">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w:t>
            </w:r>
          </w:p>
        </w:tc>
        <w:tc>
          <w:tcPr>
            <w:tcW w:w="1464" w:type="pct"/>
            <w:vAlign w:val="center"/>
          </w:tcPr>
          <w:p w14:paraId="280030EB">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K3</w:t>
            </w:r>
          </w:p>
        </w:tc>
        <w:tc>
          <w:tcPr>
            <w:tcW w:w="840" w:type="pct"/>
            <w:vAlign w:val="center"/>
          </w:tcPr>
          <w:p w14:paraId="6D9AC96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80</w:t>
            </w:r>
          </w:p>
        </w:tc>
      </w:tr>
      <w:tr w14:paraId="2359E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14:paraId="4093D303">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20</w:t>
            </w:r>
          </w:p>
        </w:tc>
        <w:tc>
          <w:tcPr>
            <w:tcW w:w="1493" w:type="pct"/>
            <w:vAlign w:val="center"/>
          </w:tcPr>
          <w:p w14:paraId="054501E2">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单车台年运输能力</w:t>
            </w:r>
          </w:p>
        </w:tc>
        <w:tc>
          <w:tcPr>
            <w:tcW w:w="776" w:type="pct"/>
            <w:vAlign w:val="center"/>
          </w:tcPr>
          <w:p w14:paraId="6993C6F9">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万t/台年</w:t>
            </w:r>
          </w:p>
        </w:tc>
        <w:tc>
          <w:tcPr>
            <w:tcW w:w="1464" w:type="pct"/>
            <w:vAlign w:val="center"/>
          </w:tcPr>
          <w:p w14:paraId="18F543EA">
            <w:pPr>
              <w:autoSpaceDE w:val="0"/>
              <w:autoSpaceDN w:val="0"/>
              <w:adjustRightInd w:val="0"/>
              <w:jc w:val="center"/>
              <w:rPr>
                <w:rFonts w:cs="仿宋_GB2312" w:asciiTheme="minorEastAsia" w:hAnsiTheme="minorEastAsia" w:eastAsiaTheme="minorEastAsia"/>
                <w:kern w:val="0"/>
                <w:szCs w:val="21"/>
              </w:rPr>
            </w:pPr>
            <w:r>
              <w:rPr>
                <w:rFonts w:hint="eastAsia" w:cs="仿宋_GB2312" w:asciiTheme="minorEastAsia" w:hAnsiTheme="minorEastAsia" w:eastAsiaTheme="minorEastAsia"/>
                <w:kern w:val="0"/>
                <w:szCs w:val="21"/>
              </w:rPr>
              <w:t>Q=A×S×C×K3</w:t>
            </w:r>
          </w:p>
        </w:tc>
        <w:tc>
          <w:tcPr>
            <w:tcW w:w="840" w:type="pct"/>
            <w:vAlign w:val="center"/>
          </w:tcPr>
          <w:p w14:paraId="1737073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13.824</w:t>
            </w:r>
          </w:p>
        </w:tc>
      </w:tr>
    </w:tbl>
    <w:p w14:paraId="2A90A8CC">
      <w:pPr>
        <w:adjustRightInd w:val="0"/>
        <w:snapToGrid w:val="0"/>
        <w:jc w:val="center"/>
        <w:rPr>
          <w:rFonts w:ascii="宋体" w:hAnsi="宋体"/>
          <w:b/>
          <w:sz w:val="24"/>
        </w:rPr>
      </w:pPr>
    </w:p>
    <w:p w14:paraId="657E8D36">
      <w:pPr>
        <w:spacing w:line="360" w:lineRule="auto"/>
        <w:ind w:firstLine="560" w:firstLineChars="200"/>
        <w:rPr>
          <w:rFonts w:ascii="宋体" w:hAnsi="宋体"/>
          <w:sz w:val="28"/>
        </w:rPr>
      </w:pPr>
      <w:r>
        <w:rPr>
          <w:rFonts w:hint="eastAsia" w:ascii="宋体" w:hAnsi="宋体"/>
          <w:sz w:val="28"/>
        </w:rPr>
        <w:t>3、辅助作业</w:t>
      </w:r>
    </w:p>
    <w:p w14:paraId="45321543">
      <w:pPr>
        <w:spacing w:line="360" w:lineRule="auto"/>
        <w:ind w:firstLine="560" w:firstLineChars="200"/>
        <w:rPr>
          <w:rFonts w:ascii="宋体" w:hAnsi="宋体"/>
          <w:sz w:val="28"/>
        </w:rPr>
      </w:pPr>
      <w:r>
        <w:rPr>
          <w:rFonts w:hint="eastAsia" w:ascii="宋体" w:hAnsi="宋体"/>
          <w:sz w:val="28"/>
        </w:rPr>
        <w:t>用于采场平整、扫道、作业场地作业等辅助作业，</w:t>
      </w:r>
      <w:r>
        <w:rPr>
          <w:rFonts w:hint="eastAsia"/>
          <w:sz w:val="28"/>
          <w:szCs w:val="28"/>
        </w:rPr>
        <w:t>另外为降低运输公路的粉尘，以便为作业人员提供一个好工作环境，</w:t>
      </w:r>
      <w:r>
        <w:rPr>
          <w:rFonts w:hint="eastAsia" w:ascii="宋体" w:hAnsi="宋体"/>
          <w:sz w:val="28"/>
        </w:rPr>
        <w:t>选用</w:t>
      </w:r>
      <w:r>
        <w:rPr>
          <w:rFonts w:hint="eastAsia"/>
          <w:sz w:val="28"/>
          <w:szCs w:val="28"/>
        </w:rPr>
        <w:t>东风</w:t>
      </w:r>
      <w:r>
        <w:rPr>
          <w:rFonts w:hint="eastAsia" w:ascii="宋体" w:hAnsi="宋体"/>
          <w:sz w:val="28"/>
        </w:rPr>
        <w:t>18m</w:t>
      </w:r>
      <w:r>
        <w:rPr>
          <w:rFonts w:hint="eastAsia" w:ascii="宋体" w:hAnsi="宋体"/>
          <w:sz w:val="28"/>
          <w:vertAlign w:val="superscript"/>
        </w:rPr>
        <w:t>3</w:t>
      </w:r>
      <w:r>
        <w:rPr>
          <w:rFonts w:hint="eastAsia" w:ascii="宋体" w:hAnsi="宋体"/>
          <w:sz w:val="28"/>
        </w:rPr>
        <w:t>洒水车用于矿山洒水除尘。</w:t>
      </w:r>
    </w:p>
    <w:p w14:paraId="6671B8C4">
      <w:pPr>
        <w:autoSpaceDE w:val="0"/>
        <w:autoSpaceDN w:val="0"/>
        <w:spacing w:line="360" w:lineRule="auto"/>
        <w:ind w:left="40"/>
        <w:jc w:val="center"/>
        <w:rPr>
          <w:rFonts w:cs="Microsoft JhengHei" w:asciiTheme="minorEastAsia" w:hAnsiTheme="minorEastAsia" w:eastAsiaTheme="minorEastAsia"/>
          <w:b/>
          <w:kern w:val="0"/>
          <w:szCs w:val="21"/>
        </w:rPr>
      </w:pPr>
      <w:r>
        <w:rPr>
          <w:rFonts w:asciiTheme="minorEastAsia" w:hAnsiTheme="minorEastAsia" w:eastAsiaTheme="minorEastAsia"/>
          <w:b/>
          <w:spacing w:val="1"/>
          <w:kern w:val="0"/>
          <w:position w:val="1"/>
          <w:szCs w:val="21"/>
        </w:rPr>
        <w:t>表4</w:t>
      </w:r>
      <w:r>
        <w:rPr>
          <w:rFonts w:asciiTheme="minorEastAsia" w:hAnsiTheme="minorEastAsia" w:eastAsiaTheme="minorEastAsia"/>
          <w:b/>
          <w:spacing w:val="1"/>
          <w:w w:val="150"/>
          <w:kern w:val="0"/>
          <w:position w:val="1"/>
          <w:szCs w:val="21"/>
        </w:rPr>
        <w:t>-</w:t>
      </w:r>
      <w:r>
        <w:rPr>
          <w:rFonts w:hint="eastAsia" w:asciiTheme="minorEastAsia" w:hAnsiTheme="minorEastAsia" w:eastAsiaTheme="minorEastAsia"/>
          <w:b/>
          <w:spacing w:val="1"/>
          <w:kern w:val="0"/>
          <w:position w:val="1"/>
          <w:szCs w:val="21"/>
        </w:rPr>
        <w:t>7</w:t>
      </w:r>
      <w:r>
        <w:rPr>
          <w:rFonts w:hint="eastAsia" w:cs="Microsoft JhengHei" w:asciiTheme="minorEastAsia" w:hAnsiTheme="minorEastAsia" w:eastAsiaTheme="minorEastAsia"/>
          <w:b/>
          <w:kern w:val="0"/>
          <w:position w:val="1"/>
          <w:szCs w:val="21"/>
        </w:rPr>
        <w:t>江特东风洒水车主要技术</w:t>
      </w:r>
      <w:r>
        <w:rPr>
          <w:rFonts w:hint="eastAsia" w:cs="Microsoft JhengHei" w:asciiTheme="minorEastAsia" w:hAnsiTheme="minorEastAsia" w:eastAsiaTheme="minorEastAsia"/>
          <w:b/>
          <w:spacing w:val="2"/>
          <w:kern w:val="0"/>
          <w:position w:val="1"/>
          <w:szCs w:val="21"/>
        </w:rPr>
        <w:t>参</w:t>
      </w:r>
      <w:r>
        <w:rPr>
          <w:rFonts w:hint="eastAsia" w:cs="Microsoft JhengHei" w:asciiTheme="minorEastAsia" w:hAnsiTheme="minorEastAsia" w:eastAsiaTheme="minorEastAsia"/>
          <w:b/>
          <w:kern w:val="0"/>
          <w:position w:val="1"/>
          <w:szCs w:val="21"/>
        </w:rPr>
        <w:t>数表</w:t>
      </w:r>
    </w:p>
    <w:tbl>
      <w:tblPr>
        <w:tblStyle w:val="42"/>
        <w:tblW w:w="45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69"/>
        <w:gridCol w:w="1993"/>
        <w:gridCol w:w="2045"/>
        <w:gridCol w:w="2060"/>
      </w:tblGrid>
      <w:tr w14:paraId="14583F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769" w:type="dxa"/>
            <w:vAlign w:val="center"/>
          </w:tcPr>
          <w:p w14:paraId="4FE884AE">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产品名称</w:t>
            </w:r>
          </w:p>
        </w:tc>
        <w:tc>
          <w:tcPr>
            <w:tcW w:w="1993" w:type="dxa"/>
            <w:vAlign w:val="center"/>
          </w:tcPr>
          <w:p w14:paraId="1257D624">
            <w:pPr>
              <w:autoSpaceDE w:val="0"/>
              <w:autoSpaceDN w:val="0"/>
              <w:spacing w:line="360" w:lineRule="auto"/>
              <w:jc w:val="center"/>
              <w:rPr>
                <w:rFonts w:asciiTheme="minorEastAsia" w:hAnsiTheme="minorEastAsia" w:eastAsiaTheme="minorEastAsia"/>
                <w:kern w:val="0"/>
                <w:szCs w:val="21"/>
              </w:rPr>
            </w:pPr>
            <w:r>
              <w:fldChar w:fldCharType="begin"/>
            </w:r>
            <w:r>
              <w:instrText xml:space="preserve"> HYPERLINK "http://www.hbtqc.com/" </w:instrText>
            </w:r>
            <w:r>
              <w:fldChar w:fldCharType="separate"/>
            </w:r>
            <w:r>
              <w:rPr>
                <w:rFonts w:hint="eastAsia" w:cs="Microsoft JhengHei" w:asciiTheme="minorEastAsia" w:hAnsiTheme="minorEastAsia" w:eastAsiaTheme="minorEastAsia"/>
                <w:kern w:val="0"/>
                <w:position w:val="-1"/>
                <w:szCs w:val="21"/>
              </w:rPr>
              <w:t>洒水车</w:t>
            </w:r>
            <w:r>
              <w:rPr>
                <w:rFonts w:hint="eastAsia" w:cs="Microsoft JhengHei" w:asciiTheme="minorEastAsia" w:hAnsiTheme="minorEastAsia" w:eastAsiaTheme="minorEastAsia"/>
                <w:kern w:val="0"/>
                <w:position w:val="-1"/>
                <w:szCs w:val="21"/>
              </w:rPr>
              <w:fldChar w:fldCharType="end"/>
            </w:r>
          </w:p>
        </w:tc>
        <w:tc>
          <w:tcPr>
            <w:tcW w:w="2045" w:type="dxa"/>
            <w:vAlign w:val="center"/>
          </w:tcPr>
          <w:p w14:paraId="01EA2B7A">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外型尺寸</w:t>
            </w:r>
            <w:r>
              <w:rPr>
                <w:rFonts w:asciiTheme="minorEastAsia" w:hAnsiTheme="minorEastAsia" w:eastAsiaTheme="minorEastAsia"/>
                <w:kern w:val="0"/>
                <w:position w:val="-1"/>
                <w:szCs w:val="21"/>
              </w:rPr>
              <w:t>(mm)</w:t>
            </w:r>
          </w:p>
        </w:tc>
        <w:tc>
          <w:tcPr>
            <w:tcW w:w="2060" w:type="dxa"/>
            <w:vAlign w:val="center"/>
          </w:tcPr>
          <w:p w14:paraId="74B62579">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kern w:val="0"/>
                <w:szCs w:val="21"/>
              </w:rPr>
              <w:t>9900×2480×3200</w:t>
            </w:r>
          </w:p>
        </w:tc>
      </w:tr>
      <w:tr w14:paraId="7AFA7F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769" w:type="dxa"/>
            <w:vAlign w:val="center"/>
          </w:tcPr>
          <w:p w14:paraId="22CB3B33">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底盘型号</w:t>
            </w:r>
          </w:p>
        </w:tc>
        <w:tc>
          <w:tcPr>
            <w:tcW w:w="1993" w:type="dxa"/>
            <w:vAlign w:val="center"/>
          </w:tcPr>
          <w:p w14:paraId="143C8319">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kern w:val="0"/>
                <w:szCs w:val="21"/>
              </w:rPr>
              <w:t>DF1163GDP6DJ1</w:t>
            </w:r>
          </w:p>
        </w:tc>
        <w:tc>
          <w:tcPr>
            <w:tcW w:w="2045" w:type="dxa"/>
            <w:vAlign w:val="center"/>
          </w:tcPr>
          <w:p w14:paraId="2C119B7D">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罐体容积</w:t>
            </w:r>
            <w:r>
              <w:rPr>
                <w:rFonts w:asciiTheme="minorEastAsia" w:hAnsiTheme="minorEastAsia" w:eastAsiaTheme="minorEastAsia"/>
                <w:w w:val="90"/>
                <w:kern w:val="0"/>
                <w:position w:val="-1"/>
                <w:szCs w:val="21"/>
              </w:rPr>
              <w:t>(m</w:t>
            </w:r>
            <w:r>
              <w:rPr>
                <w:rFonts w:asciiTheme="minorEastAsia" w:hAnsiTheme="minorEastAsia" w:eastAsiaTheme="minorEastAsia"/>
                <w:w w:val="166"/>
                <w:kern w:val="0"/>
                <w:position w:val="-1"/>
                <w:szCs w:val="21"/>
              </w:rPr>
              <w:t>³</w:t>
            </w:r>
            <w:r>
              <w:rPr>
                <w:rFonts w:asciiTheme="minorEastAsia" w:hAnsiTheme="minorEastAsia" w:eastAsiaTheme="minorEastAsia"/>
                <w:w w:val="150"/>
                <w:kern w:val="0"/>
                <w:position w:val="-1"/>
                <w:szCs w:val="21"/>
              </w:rPr>
              <w:t>)</w:t>
            </w:r>
          </w:p>
        </w:tc>
        <w:tc>
          <w:tcPr>
            <w:tcW w:w="2060" w:type="dxa"/>
            <w:vAlign w:val="center"/>
          </w:tcPr>
          <w:p w14:paraId="606F9825">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w w:val="111"/>
                <w:kern w:val="0"/>
                <w:szCs w:val="21"/>
              </w:rPr>
              <w:t>17.</w:t>
            </w:r>
            <w:r>
              <w:rPr>
                <w:rFonts w:hint="eastAsia" w:asciiTheme="minorEastAsia" w:hAnsiTheme="minorEastAsia" w:eastAsiaTheme="minorEastAsia"/>
                <w:w w:val="111"/>
                <w:kern w:val="0"/>
                <w:szCs w:val="21"/>
              </w:rPr>
              <w:t>5</w:t>
            </w:r>
            <w:r>
              <w:rPr>
                <w:rFonts w:asciiTheme="minorEastAsia" w:hAnsiTheme="minorEastAsia" w:eastAsiaTheme="minorEastAsia"/>
                <w:w w:val="111"/>
                <w:kern w:val="0"/>
                <w:szCs w:val="21"/>
              </w:rPr>
              <w:t>8</w:t>
            </w:r>
          </w:p>
        </w:tc>
      </w:tr>
      <w:tr w14:paraId="5DC27B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769" w:type="dxa"/>
            <w:vAlign w:val="center"/>
          </w:tcPr>
          <w:p w14:paraId="4DF4D470">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总质量</w:t>
            </w:r>
            <w:r>
              <w:rPr>
                <w:rFonts w:asciiTheme="minorEastAsia" w:hAnsiTheme="minorEastAsia" w:eastAsiaTheme="minorEastAsia"/>
                <w:w w:val="120"/>
                <w:kern w:val="0"/>
                <w:position w:val="-1"/>
                <w:szCs w:val="21"/>
              </w:rPr>
              <w:t>(</w:t>
            </w:r>
            <w:r>
              <w:rPr>
                <w:rFonts w:hint="eastAsia" w:asciiTheme="minorEastAsia" w:hAnsiTheme="minorEastAsia" w:eastAsiaTheme="minorEastAsia"/>
                <w:w w:val="120"/>
                <w:kern w:val="0"/>
                <w:position w:val="-1"/>
                <w:szCs w:val="21"/>
              </w:rPr>
              <w:t>kg</w:t>
            </w:r>
            <w:r>
              <w:rPr>
                <w:rFonts w:asciiTheme="minorEastAsia" w:hAnsiTheme="minorEastAsia" w:eastAsiaTheme="minorEastAsia"/>
                <w:w w:val="120"/>
                <w:kern w:val="0"/>
                <w:position w:val="-1"/>
                <w:szCs w:val="21"/>
              </w:rPr>
              <w:t>)</w:t>
            </w:r>
          </w:p>
        </w:tc>
        <w:tc>
          <w:tcPr>
            <w:tcW w:w="1993" w:type="dxa"/>
            <w:vAlign w:val="center"/>
          </w:tcPr>
          <w:p w14:paraId="159C3517">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kern w:val="0"/>
                <w:szCs w:val="21"/>
              </w:rPr>
              <w:t>10490</w:t>
            </w:r>
          </w:p>
        </w:tc>
        <w:tc>
          <w:tcPr>
            <w:tcW w:w="2045" w:type="dxa"/>
            <w:vAlign w:val="center"/>
          </w:tcPr>
          <w:p w14:paraId="166CDFB8">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接近</w:t>
            </w:r>
            <w:r>
              <w:rPr>
                <w:rFonts w:asciiTheme="minorEastAsia" w:hAnsiTheme="minorEastAsia" w:eastAsiaTheme="minorEastAsia"/>
                <w:w w:val="179"/>
                <w:kern w:val="0"/>
                <w:position w:val="-1"/>
                <w:szCs w:val="21"/>
              </w:rPr>
              <w:t>/</w:t>
            </w:r>
            <w:r>
              <w:rPr>
                <w:rFonts w:hint="eastAsia" w:cs="Microsoft JhengHei" w:asciiTheme="minorEastAsia" w:hAnsiTheme="minorEastAsia" w:eastAsiaTheme="minorEastAsia"/>
                <w:kern w:val="0"/>
                <w:position w:val="-1"/>
                <w:szCs w:val="21"/>
              </w:rPr>
              <w:t>离去角(°)</w:t>
            </w:r>
          </w:p>
        </w:tc>
        <w:tc>
          <w:tcPr>
            <w:tcW w:w="2060" w:type="dxa"/>
            <w:vAlign w:val="center"/>
          </w:tcPr>
          <w:p w14:paraId="351DAE18">
            <w:pPr>
              <w:tabs>
                <w:tab w:val="left" w:pos="2060"/>
              </w:tabs>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w w:val="109"/>
                <w:kern w:val="0"/>
                <w:szCs w:val="21"/>
              </w:rPr>
              <w:t>29/10</w:t>
            </w:r>
          </w:p>
        </w:tc>
      </w:tr>
      <w:tr w14:paraId="71DF0B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769" w:type="dxa"/>
            <w:vAlign w:val="center"/>
          </w:tcPr>
          <w:p w14:paraId="55AA78C8">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额定质量</w:t>
            </w:r>
            <w:r>
              <w:rPr>
                <w:rFonts w:asciiTheme="minorEastAsia" w:hAnsiTheme="minorEastAsia" w:eastAsiaTheme="minorEastAsia"/>
                <w:w w:val="120"/>
                <w:kern w:val="0"/>
                <w:position w:val="-1"/>
                <w:szCs w:val="21"/>
              </w:rPr>
              <w:t>(kg)</w:t>
            </w:r>
          </w:p>
        </w:tc>
        <w:tc>
          <w:tcPr>
            <w:tcW w:w="1993" w:type="dxa"/>
            <w:vAlign w:val="center"/>
          </w:tcPr>
          <w:p w14:paraId="5DB173F7">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kern w:val="0"/>
                <w:szCs w:val="21"/>
              </w:rPr>
              <w:t>16750</w:t>
            </w:r>
          </w:p>
        </w:tc>
        <w:tc>
          <w:tcPr>
            <w:tcW w:w="2045" w:type="dxa"/>
            <w:vAlign w:val="center"/>
          </w:tcPr>
          <w:p w14:paraId="798480C1">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前悬</w:t>
            </w:r>
            <w:r>
              <w:rPr>
                <w:rFonts w:hint="eastAsia" w:asciiTheme="minorEastAsia" w:hAnsiTheme="minorEastAsia" w:eastAsiaTheme="minorEastAsia"/>
                <w:w w:val="179"/>
                <w:kern w:val="0"/>
                <w:position w:val="-1"/>
                <w:szCs w:val="21"/>
              </w:rPr>
              <w:t>/</w:t>
            </w:r>
            <w:r>
              <w:rPr>
                <w:rFonts w:hint="eastAsia" w:cs="Microsoft JhengHei" w:asciiTheme="minorEastAsia" w:hAnsiTheme="minorEastAsia" w:eastAsiaTheme="minorEastAsia"/>
                <w:kern w:val="0"/>
                <w:position w:val="-1"/>
                <w:szCs w:val="21"/>
              </w:rPr>
              <w:t>后悬</w:t>
            </w:r>
            <w:r>
              <w:rPr>
                <w:rFonts w:asciiTheme="minorEastAsia" w:hAnsiTheme="minorEastAsia" w:eastAsiaTheme="minorEastAsia"/>
                <w:kern w:val="0"/>
                <w:position w:val="-1"/>
                <w:szCs w:val="21"/>
              </w:rPr>
              <w:t>(mm)</w:t>
            </w:r>
          </w:p>
        </w:tc>
        <w:tc>
          <w:tcPr>
            <w:tcW w:w="2060" w:type="dxa"/>
            <w:vAlign w:val="center"/>
          </w:tcPr>
          <w:p w14:paraId="05970016">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w w:val="105"/>
                <w:kern w:val="0"/>
                <w:szCs w:val="21"/>
              </w:rPr>
              <w:t>1250/3000</w:t>
            </w:r>
          </w:p>
        </w:tc>
      </w:tr>
      <w:tr w14:paraId="2F3AC8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769" w:type="dxa"/>
            <w:vAlign w:val="center"/>
          </w:tcPr>
          <w:p w14:paraId="08D5EBBC">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整备质量</w:t>
            </w:r>
            <w:r>
              <w:rPr>
                <w:rFonts w:asciiTheme="minorEastAsia" w:hAnsiTheme="minorEastAsia" w:eastAsiaTheme="minorEastAsia"/>
                <w:w w:val="120"/>
                <w:kern w:val="0"/>
                <w:position w:val="-1"/>
                <w:szCs w:val="21"/>
              </w:rPr>
              <w:t>(kg)</w:t>
            </w:r>
          </w:p>
        </w:tc>
        <w:tc>
          <w:tcPr>
            <w:tcW w:w="1993" w:type="dxa"/>
            <w:vAlign w:val="center"/>
          </w:tcPr>
          <w:p w14:paraId="1E4F6BB1">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kern w:val="0"/>
                <w:szCs w:val="21"/>
              </w:rPr>
              <w:t>8055</w:t>
            </w:r>
          </w:p>
        </w:tc>
        <w:tc>
          <w:tcPr>
            <w:tcW w:w="2045" w:type="dxa"/>
            <w:vAlign w:val="center"/>
          </w:tcPr>
          <w:p w14:paraId="7DD56FB5">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最高车速</w:t>
            </w:r>
            <w:r>
              <w:rPr>
                <w:rFonts w:asciiTheme="minorEastAsia" w:hAnsiTheme="minorEastAsia" w:eastAsiaTheme="minorEastAsia"/>
                <w:w w:val="110"/>
                <w:kern w:val="0"/>
                <w:position w:val="-1"/>
                <w:szCs w:val="21"/>
              </w:rPr>
              <w:t>(km/h)</w:t>
            </w:r>
          </w:p>
        </w:tc>
        <w:tc>
          <w:tcPr>
            <w:tcW w:w="2060" w:type="dxa"/>
            <w:vAlign w:val="center"/>
          </w:tcPr>
          <w:p w14:paraId="00FCD52F">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kern w:val="0"/>
                <w:szCs w:val="21"/>
              </w:rPr>
              <w:t>85</w:t>
            </w:r>
          </w:p>
        </w:tc>
      </w:tr>
      <w:tr w14:paraId="68649A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769" w:type="dxa"/>
            <w:vAlign w:val="center"/>
          </w:tcPr>
          <w:p w14:paraId="4F28C9CD">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轴数</w:t>
            </w:r>
          </w:p>
        </w:tc>
        <w:tc>
          <w:tcPr>
            <w:tcW w:w="1993" w:type="dxa"/>
            <w:vAlign w:val="center"/>
          </w:tcPr>
          <w:p w14:paraId="60A976F8">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kern w:val="0"/>
                <w:szCs w:val="21"/>
              </w:rPr>
              <w:t>3</w:t>
            </w:r>
          </w:p>
        </w:tc>
        <w:tc>
          <w:tcPr>
            <w:tcW w:w="2045" w:type="dxa"/>
            <w:vAlign w:val="center"/>
          </w:tcPr>
          <w:p w14:paraId="3D90C83B">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前轮距</w:t>
            </w:r>
            <w:r>
              <w:rPr>
                <w:rFonts w:asciiTheme="minorEastAsia" w:hAnsiTheme="minorEastAsia" w:eastAsiaTheme="minorEastAsia"/>
                <w:kern w:val="0"/>
                <w:position w:val="-1"/>
                <w:szCs w:val="21"/>
              </w:rPr>
              <w:t>(mm)</w:t>
            </w:r>
          </w:p>
        </w:tc>
        <w:tc>
          <w:tcPr>
            <w:tcW w:w="2060" w:type="dxa"/>
            <w:vAlign w:val="center"/>
          </w:tcPr>
          <w:p w14:paraId="0B01EA53">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kern w:val="0"/>
                <w:szCs w:val="21"/>
              </w:rPr>
              <w:t>1940</w:t>
            </w:r>
          </w:p>
        </w:tc>
      </w:tr>
      <w:tr w14:paraId="6CBEB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769" w:type="dxa"/>
            <w:vAlign w:val="center"/>
          </w:tcPr>
          <w:p w14:paraId="70A6FE99">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轴荷（</w:t>
            </w:r>
            <w:r>
              <w:rPr>
                <w:rFonts w:asciiTheme="minorEastAsia" w:hAnsiTheme="minorEastAsia" w:eastAsiaTheme="minorEastAsia"/>
                <w:w w:val="81"/>
                <w:kern w:val="0"/>
                <w:position w:val="-1"/>
                <w:szCs w:val="21"/>
              </w:rPr>
              <w:t>Kg</w:t>
            </w:r>
            <w:r>
              <w:rPr>
                <w:rFonts w:hint="eastAsia" w:cs="Microsoft JhengHei" w:asciiTheme="minorEastAsia" w:hAnsiTheme="minorEastAsia" w:eastAsiaTheme="minorEastAsia"/>
                <w:kern w:val="0"/>
                <w:position w:val="-1"/>
                <w:szCs w:val="21"/>
              </w:rPr>
              <w:t>）</w:t>
            </w:r>
          </w:p>
        </w:tc>
        <w:tc>
          <w:tcPr>
            <w:tcW w:w="1993" w:type="dxa"/>
            <w:vAlign w:val="center"/>
          </w:tcPr>
          <w:p w14:paraId="57F7AEF1">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kern w:val="0"/>
                <w:szCs w:val="21"/>
              </w:rPr>
              <w:t>7000</w:t>
            </w:r>
          </w:p>
        </w:tc>
        <w:tc>
          <w:tcPr>
            <w:tcW w:w="2045" w:type="dxa"/>
            <w:vAlign w:val="center"/>
          </w:tcPr>
          <w:p w14:paraId="7FC7C579">
            <w:pPr>
              <w:autoSpaceDE w:val="0"/>
              <w:autoSpaceDN w:val="0"/>
              <w:spacing w:line="360" w:lineRule="auto"/>
              <w:jc w:val="center"/>
              <w:rPr>
                <w:rFonts w:asciiTheme="minorEastAsia" w:hAnsiTheme="minorEastAsia" w:eastAsiaTheme="minorEastAsia"/>
                <w:kern w:val="0"/>
                <w:szCs w:val="21"/>
              </w:rPr>
            </w:pPr>
            <w:r>
              <w:rPr>
                <w:rFonts w:hint="eastAsia" w:cs="Microsoft JhengHei" w:asciiTheme="minorEastAsia" w:hAnsiTheme="minorEastAsia" w:eastAsiaTheme="minorEastAsia"/>
                <w:kern w:val="0"/>
                <w:position w:val="-1"/>
                <w:szCs w:val="21"/>
              </w:rPr>
              <w:t>后轮距</w:t>
            </w:r>
            <w:r>
              <w:rPr>
                <w:rFonts w:asciiTheme="minorEastAsia" w:hAnsiTheme="minorEastAsia" w:eastAsiaTheme="minorEastAsia"/>
                <w:kern w:val="0"/>
                <w:position w:val="-1"/>
                <w:szCs w:val="21"/>
              </w:rPr>
              <w:t>(mm)</w:t>
            </w:r>
          </w:p>
        </w:tc>
        <w:tc>
          <w:tcPr>
            <w:tcW w:w="2060" w:type="dxa"/>
            <w:vAlign w:val="center"/>
          </w:tcPr>
          <w:p w14:paraId="57E0AE1A">
            <w:pPr>
              <w:autoSpaceDE w:val="0"/>
              <w:autoSpaceDN w:val="0"/>
              <w:spacing w:line="360" w:lineRule="auto"/>
              <w:jc w:val="center"/>
              <w:rPr>
                <w:rFonts w:asciiTheme="minorEastAsia" w:hAnsiTheme="minorEastAsia" w:eastAsiaTheme="minorEastAsia"/>
                <w:kern w:val="0"/>
                <w:szCs w:val="21"/>
              </w:rPr>
            </w:pPr>
            <w:r>
              <w:rPr>
                <w:rFonts w:asciiTheme="minorEastAsia" w:hAnsiTheme="minorEastAsia" w:eastAsiaTheme="minorEastAsia"/>
                <w:kern w:val="0"/>
                <w:szCs w:val="21"/>
              </w:rPr>
              <w:t>1860</w:t>
            </w:r>
          </w:p>
        </w:tc>
      </w:tr>
    </w:tbl>
    <w:p w14:paraId="55FCE5AF">
      <w:pPr>
        <w:spacing w:beforeLines="50" w:line="360" w:lineRule="auto"/>
        <w:ind w:firstLine="560" w:firstLineChars="200"/>
        <w:rPr>
          <w:rFonts w:ascii="宋体" w:hAnsi="宋体"/>
          <w:sz w:val="28"/>
        </w:rPr>
      </w:pPr>
      <w:r>
        <w:rPr>
          <w:rFonts w:hint="eastAsia" w:ascii="宋体" w:hAnsi="宋体"/>
          <w:sz w:val="28"/>
        </w:rPr>
        <w:t>4、排土场</w:t>
      </w:r>
    </w:p>
    <w:p w14:paraId="2CBF4302">
      <w:pPr>
        <w:spacing w:line="360" w:lineRule="auto"/>
        <w:ind w:firstLine="560" w:firstLineChars="200"/>
        <w:rPr>
          <w:rFonts w:ascii="宋体" w:hAnsi="宋体"/>
          <w:sz w:val="28"/>
        </w:rPr>
      </w:pPr>
      <w:r>
        <w:rPr>
          <w:rFonts w:hint="eastAsia" w:ascii="宋体" w:hAnsi="宋体"/>
          <w:sz w:val="28"/>
        </w:rPr>
        <w:t>矿区内除原采场剥离表土用于闭坑治理复垦外，剩余区内开采区域均未剥离，设计利用原采场内上山运输道路至顶部首采阶段进行剥离作业，并将剥离的表土存放至临时排土场，设计有内外临时表土场。露天矿外临时排土场布置在北侧地表境界外出入口，沿境界帮布置。内排土场位于原采场内，靠采场边坡布置。</w:t>
      </w:r>
      <w:r>
        <w:rPr>
          <w:rFonts w:hint="eastAsia"/>
          <w:sz w:val="28"/>
          <w:szCs w:val="28"/>
        </w:rPr>
        <w:t>剥离的表土用于后期土地复垦，剥离的矿岩运至</w:t>
      </w:r>
      <w:r>
        <w:rPr>
          <w:rFonts w:hint="eastAsia" w:ascii="宋体" w:hAnsi="宋体"/>
          <w:sz w:val="28"/>
        </w:rPr>
        <w:t>工业场地直接加工</w:t>
      </w:r>
      <w:r>
        <w:rPr>
          <w:rFonts w:hint="eastAsia"/>
          <w:sz w:val="28"/>
          <w:szCs w:val="28"/>
        </w:rPr>
        <w:t>销售</w:t>
      </w:r>
      <w:r>
        <w:rPr>
          <w:rFonts w:hint="eastAsia" w:ascii="宋体" w:hAnsi="宋体"/>
          <w:sz w:val="28"/>
        </w:rPr>
        <w:t>。临时排土场参数见表4-8。</w:t>
      </w:r>
    </w:p>
    <w:p w14:paraId="750F85A8">
      <w:pPr>
        <w:spacing w:line="276" w:lineRule="auto"/>
        <w:jc w:val="center"/>
        <w:rPr>
          <w:rFonts w:ascii="宋体" w:hAnsi="宋体"/>
          <w:b/>
          <w:szCs w:val="21"/>
        </w:rPr>
      </w:pPr>
      <w:r>
        <w:rPr>
          <w:rFonts w:hint="eastAsia" w:ascii="宋体" w:hAnsi="宋体"/>
          <w:b/>
          <w:szCs w:val="21"/>
        </w:rPr>
        <w:t>表4-8  设计临时排土场参数表</w:t>
      </w:r>
    </w:p>
    <w:tbl>
      <w:tblPr>
        <w:tblStyle w:val="42"/>
        <w:tblW w:w="43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1848"/>
        <w:gridCol w:w="700"/>
        <w:gridCol w:w="1465"/>
        <w:gridCol w:w="1418"/>
        <w:gridCol w:w="1619"/>
      </w:tblGrid>
      <w:tr w14:paraId="52F64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14:paraId="540D523D">
            <w:pPr>
              <w:spacing w:line="276"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848" w:type="dxa"/>
            <w:vAlign w:val="center"/>
          </w:tcPr>
          <w:p w14:paraId="7B2F5749">
            <w:pPr>
              <w:spacing w:line="276" w:lineRule="auto"/>
              <w:jc w:val="center"/>
              <w:rPr>
                <w:rFonts w:asciiTheme="minorEastAsia" w:hAnsiTheme="minorEastAsia" w:eastAsiaTheme="minorEastAsia"/>
                <w:b/>
                <w:szCs w:val="21"/>
              </w:rPr>
            </w:pPr>
            <w:r>
              <w:rPr>
                <w:rFonts w:hint="eastAsia" w:asciiTheme="minorEastAsia" w:hAnsiTheme="minorEastAsia" w:eastAsiaTheme="minorEastAsia"/>
                <w:b/>
                <w:szCs w:val="21"/>
              </w:rPr>
              <w:t>技术参数</w:t>
            </w:r>
          </w:p>
        </w:tc>
        <w:tc>
          <w:tcPr>
            <w:tcW w:w="700" w:type="dxa"/>
            <w:vAlign w:val="center"/>
          </w:tcPr>
          <w:p w14:paraId="2D365BA7">
            <w:pPr>
              <w:spacing w:line="276" w:lineRule="auto"/>
              <w:jc w:val="center"/>
              <w:rPr>
                <w:rFonts w:asciiTheme="minorEastAsia" w:hAnsiTheme="minorEastAsia" w:eastAsiaTheme="minorEastAsia"/>
                <w:b/>
                <w:szCs w:val="21"/>
              </w:rPr>
            </w:pPr>
            <w:r>
              <w:rPr>
                <w:rFonts w:hint="eastAsia" w:asciiTheme="minorEastAsia" w:hAnsiTheme="minorEastAsia" w:eastAsiaTheme="minorEastAsia"/>
                <w:b/>
                <w:szCs w:val="21"/>
              </w:rPr>
              <w:t>单位</w:t>
            </w:r>
          </w:p>
        </w:tc>
        <w:tc>
          <w:tcPr>
            <w:tcW w:w="1465" w:type="dxa"/>
            <w:vAlign w:val="center"/>
          </w:tcPr>
          <w:p w14:paraId="26081E1A">
            <w:pPr>
              <w:spacing w:line="276" w:lineRule="auto"/>
              <w:jc w:val="center"/>
              <w:rPr>
                <w:rFonts w:asciiTheme="minorEastAsia" w:hAnsiTheme="minorEastAsia" w:eastAsiaTheme="minorEastAsia"/>
                <w:b/>
                <w:szCs w:val="21"/>
              </w:rPr>
            </w:pPr>
            <w:r>
              <w:rPr>
                <w:rFonts w:hint="eastAsia" w:asciiTheme="minorEastAsia" w:hAnsiTheme="minorEastAsia" w:eastAsiaTheme="minorEastAsia"/>
                <w:b/>
                <w:szCs w:val="21"/>
              </w:rPr>
              <w:t>外排土场</w:t>
            </w:r>
          </w:p>
        </w:tc>
        <w:tc>
          <w:tcPr>
            <w:tcW w:w="1418" w:type="dxa"/>
            <w:vAlign w:val="center"/>
          </w:tcPr>
          <w:p w14:paraId="623A8F17">
            <w:pPr>
              <w:spacing w:line="276" w:lineRule="auto"/>
              <w:jc w:val="center"/>
              <w:rPr>
                <w:rFonts w:asciiTheme="minorEastAsia" w:hAnsiTheme="minorEastAsia" w:eastAsiaTheme="minorEastAsia"/>
                <w:b/>
                <w:szCs w:val="21"/>
              </w:rPr>
            </w:pPr>
            <w:r>
              <w:rPr>
                <w:rFonts w:hint="eastAsia" w:asciiTheme="minorEastAsia" w:hAnsiTheme="minorEastAsia" w:eastAsiaTheme="minorEastAsia"/>
                <w:b/>
                <w:szCs w:val="21"/>
              </w:rPr>
              <w:t>内排土场</w:t>
            </w:r>
          </w:p>
        </w:tc>
        <w:tc>
          <w:tcPr>
            <w:tcW w:w="1619" w:type="dxa"/>
            <w:vAlign w:val="center"/>
          </w:tcPr>
          <w:p w14:paraId="658DC88C">
            <w:pPr>
              <w:spacing w:line="276" w:lineRule="auto"/>
              <w:jc w:val="center"/>
              <w:rPr>
                <w:rFonts w:asciiTheme="minorEastAsia" w:hAnsiTheme="minorEastAsia" w:eastAsiaTheme="minorEastAsia"/>
                <w:b/>
                <w:szCs w:val="21"/>
              </w:rPr>
            </w:pPr>
            <w:r>
              <w:rPr>
                <w:rFonts w:hint="eastAsia" w:asciiTheme="minorEastAsia" w:hAnsiTheme="minorEastAsia" w:eastAsiaTheme="minorEastAsia"/>
                <w:b/>
                <w:szCs w:val="21"/>
              </w:rPr>
              <w:t>备注</w:t>
            </w:r>
          </w:p>
        </w:tc>
      </w:tr>
      <w:tr w14:paraId="3A036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14:paraId="3699E2F8">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848" w:type="dxa"/>
            <w:vAlign w:val="center"/>
          </w:tcPr>
          <w:p w14:paraId="7E89C8CB">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占地面积</w:t>
            </w:r>
          </w:p>
        </w:tc>
        <w:tc>
          <w:tcPr>
            <w:tcW w:w="700" w:type="dxa"/>
            <w:vAlign w:val="center"/>
          </w:tcPr>
          <w:p w14:paraId="3D5A7231">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hm</w:t>
            </w:r>
            <w:r>
              <w:rPr>
                <w:rFonts w:hint="eastAsia" w:asciiTheme="minorEastAsia" w:hAnsiTheme="minorEastAsia" w:eastAsiaTheme="minorEastAsia"/>
                <w:szCs w:val="21"/>
                <w:vertAlign w:val="superscript"/>
              </w:rPr>
              <w:t>2</w:t>
            </w:r>
          </w:p>
        </w:tc>
        <w:tc>
          <w:tcPr>
            <w:tcW w:w="1465" w:type="dxa"/>
            <w:vAlign w:val="center"/>
          </w:tcPr>
          <w:p w14:paraId="5719FECB">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0.73</w:t>
            </w:r>
          </w:p>
        </w:tc>
        <w:tc>
          <w:tcPr>
            <w:tcW w:w="1418" w:type="dxa"/>
            <w:vAlign w:val="center"/>
          </w:tcPr>
          <w:p w14:paraId="7CF17EAA">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1.95</w:t>
            </w:r>
          </w:p>
        </w:tc>
        <w:tc>
          <w:tcPr>
            <w:tcW w:w="1619" w:type="dxa"/>
            <w:vMerge w:val="restart"/>
            <w:vAlign w:val="center"/>
          </w:tcPr>
          <w:p w14:paraId="20FFEFB5">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先期临时存放表土，后期依据开采</w:t>
            </w:r>
            <w:r>
              <w:rPr>
                <w:rFonts w:hint="eastAsia" w:asciiTheme="minorEastAsia" w:hAnsiTheme="minorEastAsia" w:eastAsiaTheme="minorEastAsia"/>
                <w:szCs w:val="21"/>
              </w:rPr>
              <w:t>计划</w:t>
            </w:r>
            <w:r>
              <w:rPr>
                <w:rFonts w:asciiTheme="minorEastAsia" w:hAnsiTheme="minorEastAsia" w:eastAsiaTheme="minorEastAsia"/>
                <w:szCs w:val="21"/>
              </w:rPr>
              <w:t>动态调整</w:t>
            </w:r>
          </w:p>
        </w:tc>
      </w:tr>
      <w:tr w14:paraId="31357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14:paraId="7D662B29">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1848" w:type="dxa"/>
            <w:vAlign w:val="center"/>
          </w:tcPr>
          <w:p w14:paraId="71AA6F82">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最大排弃标高</w:t>
            </w:r>
          </w:p>
        </w:tc>
        <w:tc>
          <w:tcPr>
            <w:tcW w:w="700" w:type="dxa"/>
            <w:vAlign w:val="center"/>
          </w:tcPr>
          <w:p w14:paraId="44939A08">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m</w:t>
            </w:r>
          </w:p>
        </w:tc>
        <w:tc>
          <w:tcPr>
            <w:tcW w:w="1465" w:type="dxa"/>
            <w:vAlign w:val="center"/>
          </w:tcPr>
          <w:p w14:paraId="03EF86D8">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不超过地形标高200m</w:t>
            </w:r>
          </w:p>
        </w:tc>
        <w:tc>
          <w:tcPr>
            <w:tcW w:w="1418" w:type="dxa"/>
            <w:vAlign w:val="center"/>
          </w:tcPr>
          <w:p w14:paraId="4538A04F">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不超过采坑顶标高</w:t>
            </w:r>
            <w:r>
              <w:rPr>
                <w:rFonts w:hint="eastAsia" w:asciiTheme="minorEastAsia" w:hAnsiTheme="minorEastAsia" w:eastAsiaTheme="minorEastAsia"/>
                <w:szCs w:val="21"/>
              </w:rPr>
              <w:t>243m</w:t>
            </w:r>
          </w:p>
        </w:tc>
        <w:tc>
          <w:tcPr>
            <w:tcW w:w="1619" w:type="dxa"/>
            <w:vMerge w:val="continue"/>
            <w:vAlign w:val="center"/>
          </w:tcPr>
          <w:p w14:paraId="635FB934">
            <w:pPr>
              <w:spacing w:line="276" w:lineRule="auto"/>
              <w:jc w:val="center"/>
              <w:rPr>
                <w:rFonts w:asciiTheme="minorEastAsia" w:hAnsiTheme="minorEastAsia" w:eastAsiaTheme="minorEastAsia"/>
                <w:szCs w:val="21"/>
              </w:rPr>
            </w:pPr>
          </w:p>
        </w:tc>
      </w:tr>
      <w:tr w14:paraId="7E4A4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14:paraId="310C09C1">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1848" w:type="dxa"/>
            <w:vAlign w:val="center"/>
          </w:tcPr>
          <w:p w14:paraId="1DD496E6">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稳定帮坡角</w:t>
            </w:r>
          </w:p>
        </w:tc>
        <w:tc>
          <w:tcPr>
            <w:tcW w:w="700" w:type="dxa"/>
            <w:vAlign w:val="center"/>
          </w:tcPr>
          <w:p w14:paraId="32C5832F">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w:t>
            </w:r>
          </w:p>
        </w:tc>
        <w:tc>
          <w:tcPr>
            <w:tcW w:w="1465" w:type="dxa"/>
            <w:vAlign w:val="center"/>
          </w:tcPr>
          <w:p w14:paraId="531AC9CD">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33</w:t>
            </w:r>
          </w:p>
        </w:tc>
        <w:tc>
          <w:tcPr>
            <w:tcW w:w="1418" w:type="dxa"/>
            <w:vAlign w:val="center"/>
          </w:tcPr>
          <w:p w14:paraId="3950F0DF">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36-38</w:t>
            </w:r>
          </w:p>
        </w:tc>
        <w:tc>
          <w:tcPr>
            <w:tcW w:w="1619" w:type="dxa"/>
            <w:vMerge w:val="continue"/>
            <w:vAlign w:val="center"/>
          </w:tcPr>
          <w:p w14:paraId="02C1D14A">
            <w:pPr>
              <w:spacing w:line="276" w:lineRule="auto"/>
              <w:jc w:val="center"/>
              <w:rPr>
                <w:rFonts w:asciiTheme="minorEastAsia" w:hAnsiTheme="minorEastAsia" w:eastAsiaTheme="minorEastAsia"/>
                <w:szCs w:val="21"/>
              </w:rPr>
            </w:pPr>
          </w:p>
        </w:tc>
      </w:tr>
      <w:tr w14:paraId="5EC35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14:paraId="5A2B98D9">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4</w:t>
            </w:r>
          </w:p>
        </w:tc>
        <w:tc>
          <w:tcPr>
            <w:tcW w:w="1848" w:type="dxa"/>
            <w:vAlign w:val="center"/>
          </w:tcPr>
          <w:p w14:paraId="16352206">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最终松散系数</w:t>
            </w:r>
          </w:p>
        </w:tc>
        <w:tc>
          <w:tcPr>
            <w:tcW w:w="700" w:type="dxa"/>
            <w:vAlign w:val="center"/>
          </w:tcPr>
          <w:p w14:paraId="43F2C6C1">
            <w:pPr>
              <w:spacing w:line="276" w:lineRule="auto"/>
              <w:jc w:val="center"/>
              <w:rPr>
                <w:rFonts w:asciiTheme="minorEastAsia" w:hAnsiTheme="minorEastAsia" w:eastAsiaTheme="minorEastAsia"/>
                <w:szCs w:val="21"/>
              </w:rPr>
            </w:pPr>
          </w:p>
        </w:tc>
        <w:tc>
          <w:tcPr>
            <w:tcW w:w="1465" w:type="dxa"/>
            <w:vAlign w:val="center"/>
          </w:tcPr>
          <w:p w14:paraId="6CC6B382">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1.2</w:t>
            </w:r>
          </w:p>
        </w:tc>
        <w:tc>
          <w:tcPr>
            <w:tcW w:w="1418" w:type="dxa"/>
            <w:vAlign w:val="center"/>
          </w:tcPr>
          <w:p w14:paraId="772E43B8">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1.2</w:t>
            </w:r>
          </w:p>
        </w:tc>
        <w:tc>
          <w:tcPr>
            <w:tcW w:w="1619" w:type="dxa"/>
            <w:vMerge w:val="continue"/>
            <w:vAlign w:val="center"/>
          </w:tcPr>
          <w:p w14:paraId="61CE79CC">
            <w:pPr>
              <w:spacing w:line="276" w:lineRule="auto"/>
              <w:jc w:val="center"/>
              <w:rPr>
                <w:rFonts w:asciiTheme="minorEastAsia" w:hAnsiTheme="minorEastAsia" w:eastAsiaTheme="minorEastAsia"/>
                <w:szCs w:val="21"/>
              </w:rPr>
            </w:pPr>
          </w:p>
        </w:tc>
      </w:tr>
      <w:tr w14:paraId="72759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14:paraId="27182F98">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5</w:t>
            </w:r>
          </w:p>
        </w:tc>
        <w:tc>
          <w:tcPr>
            <w:tcW w:w="1848" w:type="dxa"/>
            <w:vAlign w:val="center"/>
          </w:tcPr>
          <w:p w14:paraId="00C99030">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排土场备用系数</w:t>
            </w:r>
          </w:p>
        </w:tc>
        <w:tc>
          <w:tcPr>
            <w:tcW w:w="700" w:type="dxa"/>
            <w:vAlign w:val="center"/>
          </w:tcPr>
          <w:p w14:paraId="4EB92297">
            <w:pPr>
              <w:spacing w:line="276" w:lineRule="auto"/>
              <w:jc w:val="center"/>
              <w:rPr>
                <w:rFonts w:asciiTheme="minorEastAsia" w:hAnsiTheme="minorEastAsia" w:eastAsiaTheme="minorEastAsia"/>
                <w:szCs w:val="21"/>
              </w:rPr>
            </w:pPr>
          </w:p>
        </w:tc>
        <w:tc>
          <w:tcPr>
            <w:tcW w:w="1465" w:type="dxa"/>
            <w:vAlign w:val="center"/>
          </w:tcPr>
          <w:p w14:paraId="30921B79">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1.05</w:t>
            </w:r>
          </w:p>
        </w:tc>
        <w:tc>
          <w:tcPr>
            <w:tcW w:w="1418" w:type="dxa"/>
            <w:vAlign w:val="center"/>
          </w:tcPr>
          <w:p w14:paraId="2CFC5F49">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1.05</w:t>
            </w:r>
          </w:p>
        </w:tc>
        <w:tc>
          <w:tcPr>
            <w:tcW w:w="1619" w:type="dxa"/>
            <w:vMerge w:val="continue"/>
            <w:vAlign w:val="center"/>
          </w:tcPr>
          <w:p w14:paraId="51C03CE5">
            <w:pPr>
              <w:spacing w:line="276" w:lineRule="auto"/>
              <w:jc w:val="center"/>
              <w:rPr>
                <w:rFonts w:asciiTheme="minorEastAsia" w:hAnsiTheme="minorEastAsia" w:eastAsiaTheme="minorEastAsia"/>
                <w:szCs w:val="21"/>
              </w:rPr>
            </w:pPr>
          </w:p>
        </w:tc>
      </w:tr>
      <w:tr w14:paraId="05AE3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14:paraId="1E47D452">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6</w:t>
            </w:r>
          </w:p>
        </w:tc>
        <w:tc>
          <w:tcPr>
            <w:tcW w:w="1848" w:type="dxa"/>
            <w:vAlign w:val="center"/>
          </w:tcPr>
          <w:p w14:paraId="3989C328">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设计最大库容</w:t>
            </w:r>
          </w:p>
        </w:tc>
        <w:tc>
          <w:tcPr>
            <w:tcW w:w="700" w:type="dxa"/>
            <w:vAlign w:val="center"/>
          </w:tcPr>
          <w:p w14:paraId="72A88E0B">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万m</w:t>
            </w:r>
            <w:r>
              <w:rPr>
                <w:rFonts w:hint="eastAsia" w:asciiTheme="minorEastAsia" w:hAnsiTheme="minorEastAsia" w:eastAsiaTheme="minorEastAsia"/>
                <w:szCs w:val="21"/>
                <w:vertAlign w:val="superscript"/>
              </w:rPr>
              <w:t>3</w:t>
            </w:r>
          </w:p>
        </w:tc>
        <w:tc>
          <w:tcPr>
            <w:tcW w:w="1465" w:type="dxa"/>
            <w:vAlign w:val="center"/>
          </w:tcPr>
          <w:p w14:paraId="63C6E328">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3.3</w:t>
            </w:r>
          </w:p>
        </w:tc>
        <w:tc>
          <w:tcPr>
            <w:tcW w:w="1418" w:type="dxa"/>
            <w:vAlign w:val="center"/>
          </w:tcPr>
          <w:p w14:paraId="5AB1F1C3">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40.8</w:t>
            </w:r>
          </w:p>
        </w:tc>
        <w:tc>
          <w:tcPr>
            <w:tcW w:w="1619" w:type="dxa"/>
            <w:vAlign w:val="center"/>
          </w:tcPr>
          <w:p w14:paraId="67BD64F9">
            <w:pPr>
              <w:spacing w:line="276" w:lineRule="auto"/>
              <w:jc w:val="center"/>
              <w:rPr>
                <w:rFonts w:asciiTheme="minorEastAsia" w:hAnsiTheme="minorEastAsia" w:eastAsiaTheme="minorEastAsia"/>
                <w:szCs w:val="21"/>
              </w:rPr>
            </w:pPr>
          </w:p>
        </w:tc>
      </w:tr>
      <w:tr w14:paraId="62D0B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14:paraId="1A678924">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7</w:t>
            </w:r>
          </w:p>
        </w:tc>
        <w:tc>
          <w:tcPr>
            <w:tcW w:w="1848" w:type="dxa"/>
            <w:vAlign w:val="center"/>
          </w:tcPr>
          <w:p w14:paraId="3904D741">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排土台阶高度</w:t>
            </w:r>
          </w:p>
        </w:tc>
        <w:tc>
          <w:tcPr>
            <w:tcW w:w="700" w:type="dxa"/>
            <w:vAlign w:val="center"/>
          </w:tcPr>
          <w:p w14:paraId="1507BCDB">
            <w:pPr>
              <w:spacing w:line="276" w:lineRule="auto"/>
              <w:jc w:val="center"/>
              <w:rPr>
                <w:rFonts w:asciiTheme="minorEastAsia" w:hAnsiTheme="minorEastAsia" w:eastAsiaTheme="minorEastAsia"/>
                <w:szCs w:val="21"/>
              </w:rPr>
            </w:pPr>
            <w:r>
              <w:rPr>
                <w:rFonts w:asciiTheme="minorEastAsia" w:hAnsiTheme="minorEastAsia" w:eastAsiaTheme="minorEastAsia"/>
                <w:szCs w:val="21"/>
              </w:rPr>
              <w:t>m</w:t>
            </w:r>
          </w:p>
        </w:tc>
        <w:tc>
          <w:tcPr>
            <w:tcW w:w="1465" w:type="dxa"/>
            <w:vAlign w:val="center"/>
          </w:tcPr>
          <w:p w14:paraId="1CEDD505">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w:t>
            </w:r>
          </w:p>
        </w:tc>
        <w:tc>
          <w:tcPr>
            <w:tcW w:w="1418" w:type="dxa"/>
            <w:vAlign w:val="center"/>
          </w:tcPr>
          <w:p w14:paraId="4C8A138D">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10</w:t>
            </w:r>
          </w:p>
        </w:tc>
        <w:tc>
          <w:tcPr>
            <w:tcW w:w="1619" w:type="dxa"/>
            <w:vAlign w:val="center"/>
          </w:tcPr>
          <w:p w14:paraId="121DAED3">
            <w:pPr>
              <w:spacing w:line="276" w:lineRule="auto"/>
              <w:jc w:val="center"/>
              <w:rPr>
                <w:rFonts w:asciiTheme="minorEastAsia" w:hAnsiTheme="minorEastAsia" w:eastAsiaTheme="minorEastAsia"/>
                <w:szCs w:val="21"/>
              </w:rPr>
            </w:pPr>
          </w:p>
        </w:tc>
      </w:tr>
      <w:tr w14:paraId="0D640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14:paraId="349B5994">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8</w:t>
            </w:r>
          </w:p>
        </w:tc>
        <w:tc>
          <w:tcPr>
            <w:tcW w:w="1848" w:type="dxa"/>
            <w:vAlign w:val="center"/>
          </w:tcPr>
          <w:p w14:paraId="4C4F125F">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设拦挡设施</w:t>
            </w:r>
          </w:p>
        </w:tc>
        <w:tc>
          <w:tcPr>
            <w:tcW w:w="700" w:type="dxa"/>
            <w:vAlign w:val="center"/>
          </w:tcPr>
          <w:p w14:paraId="74B78607">
            <w:pPr>
              <w:spacing w:line="276" w:lineRule="auto"/>
              <w:jc w:val="center"/>
              <w:rPr>
                <w:rFonts w:asciiTheme="minorEastAsia" w:hAnsiTheme="minorEastAsia" w:eastAsiaTheme="minorEastAsia"/>
                <w:szCs w:val="21"/>
              </w:rPr>
            </w:pPr>
          </w:p>
        </w:tc>
        <w:tc>
          <w:tcPr>
            <w:tcW w:w="1465" w:type="dxa"/>
            <w:vAlign w:val="center"/>
          </w:tcPr>
          <w:p w14:paraId="41067D51">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否</w:t>
            </w:r>
          </w:p>
        </w:tc>
        <w:tc>
          <w:tcPr>
            <w:tcW w:w="1418" w:type="dxa"/>
            <w:vAlign w:val="center"/>
          </w:tcPr>
          <w:p w14:paraId="0371B9D2">
            <w:pPr>
              <w:spacing w:line="276" w:lineRule="auto"/>
              <w:jc w:val="center"/>
              <w:rPr>
                <w:rFonts w:asciiTheme="minorEastAsia" w:hAnsiTheme="minorEastAsia" w:eastAsiaTheme="minorEastAsia"/>
                <w:szCs w:val="21"/>
              </w:rPr>
            </w:pPr>
            <w:r>
              <w:rPr>
                <w:rFonts w:hint="eastAsia" w:asciiTheme="minorEastAsia" w:hAnsiTheme="minorEastAsia" w:eastAsiaTheme="minorEastAsia"/>
                <w:szCs w:val="21"/>
              </w:rPr>
              <w:t>否</w:t>
            </w:r>
          </w:p>
        </w:tc>
        <w:tc>
          <w:tcPr>
            <w:tcW w:w="1619" w:type="dxa"/>
            <w:vAlign w:val="center"/>
          </w:tcPr>
          <w:p w14:paraId="6F71F09F">
            <w:pPr>
              <w:spacing w:line="276" w:lineRule="auto"/>
              <w:jc w:val="left"/>
              <w:rPr>
                <w:rFonts w:asciiTheme="minorEastAsia" w:hAnsiTheme="minorEastAsia" w:eastAsiaTheme="minorEastAsia"/>
                <w:szCs w:val="21"/>
              </w:rPr>
            </w:pPr>
            <w:r>
              <w:rPr>
                <w:rFonts w:hint="eastAsia" w:asciiTheme="minorEastAsia" w:hAnsiTheme="minorEastAsia" w:eastAsiaTheme="minorEastAsia"/>
                <w:szCs w:val="21"/>
              </w:rPr>
              <w:t>堆砌高度小于120m，且不在沟谷处</w:t>
            </w:r>
          </w:p>
        </w:tc>
      </w:tr>
    </w:tbl>
    <w:p w14:paraId="550B3EF9">
      <w:pPr>
        <w:spacing w:beforeLines="50" w:line="360" w:lineRule="auto"/>
        <w:ind w:firstLine="560" w:firstLineChars="200"/>
        <w:rPr>
          <w:rFonts w:ascii="宋体" w:hAnsi="宋体"/>
          <w:sz w:val="28"/>
        </w:rPr>
      </w:pPr>
      <w:r>
        <w:rPr>
          <w:rFonts w:hint="eastAsia" w:ascii="宋体" w:hAnsi="宋体"/>
          <w:sz w:val="28"/>
        </w:rPr>
        <w:t>5、供电供水系统</w:t>
      </w:r>
    </w:p>
    <w:p w14:paraId="772D8B63">
      <w:pPr>
        <w:spacing w:line="360" w:lineRule="auto"/>
        <w:ind w:firstLine="560" w:firstLineChars="200"/>
        <w:rPr>
          <w:rFonts w:ascii="宋体" w:hAnsi="宋体"/>
          <w:sz w:val="28"/>
        </w:rPr>
      </w:pPr>
      <w:r>
        <w:rPr>
          <w:rFonts w:hint="eastAsia" w:ascii="宋体" w:hAnsi="宋体"/>
          <w:sz w:val="28"/>
        </w:rPr>
        <w:t>设计利用原矿区东侧工业场地内变电房，由附近电网直接供电，选用单回路供电电源供电，可以满足矿山用电设备用电。生活生产用水采用送水车定期送水，可以保证用水要求。</w:t>
      </w:r>
    </w:p>
    <w:p w14:paraId="6BCB3E46">
      <w:pPr>
        <w:spacing w:line="360" w:lineRule="auto"/>
        <w:ind w:firstLine="560" w:firstLineChars="200"/>
        <w:rPr>
          <w:rFonts w:ascii="宋体" w:hAnsi="宋体"/>
          <w:sz w:val="28"/>
        </w:rPr>
      </w:pPr>
      <w:r>
        <w:rPr>
          <w:rFonts w:hint="eastAsia" w:ascii="宋体" w:hAnsi="宋体"/>
          <w:sz w:val="28"/>
        </w:rPr>
        <w:t>6、总平面布置</w:t>
      </w:r>
    </w:p>
    <w:p w14:paraId="1474F211">
      <w:pPr>
        <w:spacing w:line="360" w:lineRule="auto"/>
        <w:ind w:firstLine="560" w:firstLineChars="200"/>
        <w:rPr>
          <w:rFonts w:ascii="宋体" w:hAnsi="宋体"/>
          <w:sz w:val="28"/>
        </w:rPr>
      </w:pPr>
      <w:r>
        <w:rPr>
          <w:rFonts w:hint="eastAsia" w:ascii="宋体" w:hAnsi="宋体"/>
          <w:sz w:val="28"/>
        </w:rPr>
        <w:t>工业广场布置位于原矿区东南侧，场地内原有的加工厂房、变电房、办公房等生产生活设施齐全，直接利用即可满足前期生产需要。</w:t>
      </w:r>
    </w:p>
    <w:p w14:paraId="3A2471E6">
      <w:pPr>
        <w:pStyle w:val="5"/>
        <w:spacing w:line="360" w:lineRule="auto"/>
        <w:ind w:firstLine="542" w:firstLineChars="200"/>
        <w:rPr>
          <w:rFonts w:ascii="宋体" w:hAnsi="宋体" w:cs="宋体"/>
          <w:spacing w:val="-5"/>
          <w:sz w:val="28"/>
          <w:szCs w:val="28"/>
        </w:rPr>
      </w:pPr>
      <w:r>
        <w:rPr>
          <w:rFonts w:hint="eastAsia" w:ascii="宋体" w:hAnsi="宋体" w:cs="宋体"/>
          <w:spacing w:val="-5"/>
          <w:sz w:val="28"/>
          <w:szCs w:val="28"/>
        </w:rPr>
        <w:t>8、采剥进度计划</w:t>
      </w:r>
    </w:p>
    <w:p w14:paraId="1EAB65BF">
      <w:pPr>
        <w:spacing w:line="360" w:lineRule="auto"/>
        <w:ind w:firstLine="560" w:firstLineChars="200"/>
        <w:rPr>
          <w:sz w:val="28"/>
          <w:szCs w:val="28"/>
        </w:rPr>
      </w:pPr>
      <w:r>
        <w:rPr>
          <w:rFonts w:hint="eastAsia" w:cs="宋体" w:asciiTheme="minorEastAsia" w:hAnsiTheme="minorEastAsia" w:eastAsiaTheme="minorEastAsia"/>
          <w:sz w:val="28"/>
          <w:szCs w:val="28"/>
        </w:rPr>
        <w:t>矿山开采矿种为建筑用白云岩、石英砂岩，矿山拟建生产规模为43万m</w:t>
      </w:r>
      <w:r>
        <w:rPr>
          <w:rFonts w:hint="eastAsia" w:cs="宋体" w:asciiTheme="minorEastAsia" w:hAnsiTheme="minorEastAsia" w:eastAsiaTheme="minorEastAsia"/>
          <w:sz w:val="28"/>
          <w:szCs w:val="28"/>
          <w:vertAlign w:val="superscript"/>
        </w:rPr>
        <w:t>3</w:t>
      </w:r>
      <w:r>
        <w:rPr>
          <w:rFonts w:hint="eastAsia" w:cs="宋体" w:asciiTheme="minorEastAsia" w:hAnsiTheme="minorEastAsia" w:eastAsiaTheme="minorEastAsia"/>
          <w:sz w:val="28"/>
          <w:szCs w:val="28"/>
        </w:rPr>
        <w:t>/a，开采顺序为自上而下分台阶开采，矿体上覆剥离物先行按计划进行剥离，矿石不分采，</w:t>
      </w:r>
      <w:r>
        <w:rPr>
          <w:rFonts w:hint="eastAsia" w:asciiTheme="minorEastAsia" w:hAnsiTheme="minorEastAsia" w:eastAsiaTheme="minorEastAsia"/>
          <w:sz w:val="28"/>
          <w:szCs w:val="28"/>
        </w:rPr>
        <w:t>矿山服务年限约10年</w:t>
      </w:r>
      <w:r>
        <w:rPr>
          <w:rFonts w:hint="eastAsia"/>
          <w:sz w:val="28"/>
          <w:szCs w:val="28"/>
        </w:rPr>
        <w:t>。计划</w:t>
      </w:r>
      <w:r>
        <w:rPr>
          <w:rFonts w:hint="eastAsia" w:ascii="宋体" w:cs="宋体"/>
          <w:sz w:val="28"/>
          <w:szCs w:val="28"/>
        </w:rPr>
        <w:t>不需基建即可投产，投产即可达产。</w:t>
      </w:r>
      <w:r>
        <w:rPr>
          <w:rFonts w:hint="eastAsia"/>
          <w:sz w:val="28"/>
          <w:szCs w:val="28"/>
        </w:rPr>
        <w:t>按上述基本条件编制采掘进度计划。</w:t>
      </w:r>
    </w:p>
    <w:p w14:paraId="0EEE3C8A">
      <w:pPr>
        <w:spacing w:line="360" w:lineRule="auto"/>
        <w:ind w:firstLine="560" w:firstLineChars="200"/>
        <w:rPr>
          <w:rFonts w:ascii="宋体" w:cs="宋体"/>
          <w:sz w:val="28"/>
          <w:szCs w:val="28"/>
        </w:rPr>
      </w:pPr>
      <w:r>
        <w:rPr>
          <w:rFonts w:ascii="宋体" w:cs="宋体"/>
          <w:sz w:val="28"/>
          <w:szCs w:val="28"/>
        </w:rPr>
        <w:t>（</w:t>
      </w:r>
      <w:r>
        <w:rPr>
          <w:rFonts w:hint="eastAsia" w:ascii="宋体" w:cs="宋体"/>
          <w:sz w:val="28"/>
          <w:szCs w:val="28"/>
        </w:rPr>
        <w:t>1</w:t>
      </w:r>
      <w:r>
        <w:rPr>
          <w:rFonts w:ascii="宋体" w:cs="宋体"/>
          <w:sz w:val="28"/>
          <w:szCs w:val="28"/>
        </w:rPr>
        <w:t>）</w:t>
      </w:r>
      <w:r>
        <w:rPr>
          <w:rFonts w:hint="eastAsia" w:ascii="宋体" w:cs="宋体"/>
          <w:sz w:val="28"/>
          <w:szCs w:val="28"/>
        </w:rPr>
        <w:t>生产剥采比均衡</w:t>
      </w:r>
    </w:p>
    <w:p w14:paraId="09BA0EB2">
      <w:pPr>
        <w:spacing w:line="360" w:lineRule="auto"/>
        <w:ind w:firstLine="560" w:firstLineChars="200"/>
        <w:rPr>
          <w:rFonts w:ascii="宋体" w:cs="宋体"/>
          <w:sz w:val="28"/>
          <w:szCs w:val="28"/>
        </w:rPr>
      </w:pPr>
      <w:r>
        <w:rPr>
          <w:rFonts w:hint="eastAsia" w:ascii="宋体" w:cs="宋体"/>
          <w:sz w:val="28"/>
          <w:szCs w:val="28"/>
        </w:rPr>
        <w:t>露天矿生产期的剥采比按服务年限10年、生产规模43万m</w:t>
      </w:r>
      <w:r>
        <w:rPr>
          <w:rFonts w:hint="eastAsia" w:ascii="宋体" w:cs="宋体"/>
          <w:sz w:val="28"/>
          <w:szCs w:val="28"/>
          <w:vertAlign w:val="superscript"/>
        </w:rPr>
        <w:t>3</w:t>
      </w:r>
      <w:r>
        <w:rPr>
          <w:rFonts w:hint="eastAsia" w:ascii="宋体" w:cs="宋体"/>
          <w:sz w:val="28"/>
          <w:szCs w:val="28"/>
        </w:rPr>
        <w:t>/a进行了均衡，均衡后的生产剥采比见表4-9。</w:t>
      </w:r>
    </w:p>
    <w:p w14:paraId="5F229089">
      <w:pPr>
        <w:spacing w:line="360" w:lineRule="auto"/>
        <w:jc w:val="center"/>
        <w:rPr>
          <w:rFonts w:ascii="宋体" w:cs="宋体"/>
          <w:b/>
          <w:szCs w:val="21"/>
        </w:rPr>
      </w:pPr>
      <w:r>
        <w:rPr>
          <w:rFonts w:hint="eastAsia" w:ascii="宋体" w:cs="宋体"/>
          <w:b/>
          <w:szCs w:val="21"/>
        </w:rPr>
        <w:t>表4-9  生产剥采比均衡表</w:t>
      </w:r>
    </w:p>
    <w:tbl>
      <w:tblPr>
        <w:tblStyle w:val="43"/>
        <w:tblW w:w="4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0"/>
        <w:gridCol w:w="1881"/>
        <w:gridCol w:w="2050"/>
        <w:gridCol w:w="1707"/>
      </w:tblGrid>
      <w:tr w14:paraId="4F80D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520" w:type="dxa"/>
            <w:vAlign w:val="center"/>
          </w:tcPr>
          <w:p w14:paraId="2C5039D9">
            <w:pPr>
              <w:ind w:leftChars="-20" w:hanging="42" w:hangingChars="20"/>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项目时期</w:t>
            </w:r>
          </w:p>
        </w:tc>
        <w:tc>
          <w:tcPr>
            <w:tcW w:w="1881" w:type="dxa"/>
            <w:vAlign w:val="center"/>
          </w:tcPr>
          <w:p w14:paraId="5DAB3DE3">
            <w:pPr>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生产能力</w:t>
            </w:r>
          </w:p>
          <w:p w14:paraId="13DDC922">
            <w:pPr>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（万m</w:t>
            </w:r>
            <w:r>
              <w:rPr>
                <w:rFonts w:hint="eastAsia" w:cs="宋体" w:asciiTheme="minorEastAsia" w:hAnsiTheme="minorEastAsia" w:eastAsiaTheme="minorEastAsia"/>
                <w:b/>
                <w:szCs w:val="21"/>
                <w:vertAlign w:val="superscript"/>
              </w:rPr>
              <w:t>3</w:t>
            </w:r>
            <w:r>
              <w:rPr>
                <w:rFonts w:hint="eastAsia" w:cs="宋体" w:asciiTheme="minorEastAsia" w:hAnsiTheme="minorEastAsia" w:eastAsiaTheme="minorEastAsia"/>
                <w:b/>
                <w:szCs w:val="21"/>
              </w:rPr>
              <w:t>/a）</w:t>
            </w:r>
          </w:p>
        </w:tc>
        <w:tc>
          <w:tcPr>
            <w:tcW w:w="2050" w:type="dxa"/>
            <w:vAlign w:val="center"/>
          </w:tcPr>
          <w:p w14:paraId="5A45255D">
            <w:pPr>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生产剥采比</w:t>
            </w:r>
          </w:p>
          <w:p w14:paraId="4A3C7691">
            <w:pPr>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（m</w:t>
            </w:r>
            <w:r>
              <w:rPr>
                <w:rFonts w:hint="eastAsia" w:cs="宋体" w:asciiTheme="minorEastAsia" w:hAnsiTheme="minorEastAsia" w:eastAsiaTheme="minorEastAsia"/>
                <w:b/>
                <w:szCs w:val="21"/>
                <w:vertAlign w:val="superscript"/>
              </w:rPr>
              <w:t>3</w:t>
            </w:r>
            <w:r>
              <w:rPr>
                <w:rFonts w:hint="eastAsia" w:cs="宋体" w:asciiTheme="minorEastAsia" w:hAnsiTheme="minorEastAsia" w:eastAsiaTheme="minorEastAsia"/>
                <w:b/>
                <w:szCs w:val="21"/>
              </w:rPr>
              <w:t>/m</w:t>
            </w:r>
            <w:r>
              <w:rPr>
                <w:rFonts w:hint="eastAsia" w:cs="宋体" w:asciiTheme="minorEastAsia" w:hAnsiTheme="minorEastAsia" w:eastAsiaTheme="minorEastAsia"/>
                <w:b/>
                <w:szCs w:val="21"/>
                <w:vertAlign w:val="superscript"/>
              </w:rPr>
              <w:t>3</w:t>
            </w:r>
            <w:r>
              <w:rPr>
                <w:rFonts w:hint="eastAsia" w:cs="宋体" w:asciiTheme="minorEastAsia" w:hAnsiTheme="minorEastAsia" w:eastAsiaTheme="minorEastAsia"/>
                <w:b/>
                <w:szCs w:val="21"/>
              </w:rPr>
              <w:t>）</w:t>
            </w:r>
          </w:p>
        </w:tc>
        <w:tc>
          <w:tcPr>
            <w:tcW w:w="1707" w:type="dxa"/>
            <w:vAlign w:val="center"/>
          </w:tcPr>
          <w:p w14:paraId="602B9D34">
            <w:pPr>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年限</w:t>
            </w:r>
          </w:p>
          <w:p w14:paraId="6FAF069D">
            <w:pPr>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（a）</w:t>
            </w:r>
          </w:p>
        </w:tc>
      </w:tr>
      <w:tr w14:paraId="18CDD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14:paraId="599260E5">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生产期1</w:t>
            </w:r>
          </w:p>
        </w:tc>
        <w:tc>
          <w:tcPr>
            <w:tcW w:w="1881" w:type="dxa"/>
            <w:vAlign w:val="center"/>
          </w:tcPr>
          <w:p w14:paraId="5E24EB1F">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43.00</w:t>
            </w:r>
          </w:p>
        </w:tc>
        <w:tc>
          <w:tcPr>
            <w:tcW w:w="2050" w:type="dxa"/>
            <w:vAlign w:val="center"/>
          </w:tcPr>
          <w:p w14:paraId="0ACECC5A">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1.34</w:t>
            </w:r>
          </w:p>
        </w:tc>
        <w:tc>
          <w:tcPr>
            <w:tcW w:w="1707" w:type="dxa"/>
            <w:vAlign w:val="center"/>
          </w:tcPr>
          <w:p w14:paraId="13D227B7">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1</w:t>
            </w:r>
          </w:p>
        </w:tc>
      </w:tr>
      <w:tr w14:paraId="58899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14:paraId="024446AC">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生产期2</w:t>
            </w:r>
          </w:p>
        </w:tc>
        <w:tc>
          <w:tcPr>
            <w:tcW w:w="1881" w:type="dxa"/>
            <w:vAlign w:val="center"/>
          </w:tcPr>
          <w:p w14:paraId="42BF681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43.00</w:t>
            </w:r>
          </w:p>
        </w:tc>
        <w:tc>
          <w:tcPr>
            <w:tcW w:w="2050" w:type="dxa"/>
            <w:vAlign w:val="center"/>
          </w:tcPr>
          <w:p w14:paraId="6B9AD34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0.82</w:t>
            </w:r>
          </w:p>
        </w:tc>
        <w:tc>
          <w:tcPr>
            <w:tcW w:w="1707" w:type="dxa"/>
            <w:vAlign w:val="center"/>
          </w:tcPr>
          <w:p w14:paraId="7C4361AD">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2</w:t>
            </w:r>
          </w:p>
        </w:tc>
      </w:tr>
      <w:tr w14:paraId="32C4B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14:paraId="1113E454">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生产期3</w:t>
            </w:r>
          </w:p>
        </w:tc>
        <w:tc>
          <w:tcPr>
            <w:tcW w:w="1881" w:type="dxa"/>
            <w:vAlign w:val="center"/>
          </w:tcPr>
          <w:p w14:paraId="08B12658">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43.00</w:t>
            </w:r>
          </w:p>
        </w:tc>
        <w:tc>
          <w:tcPr>
            <w:tcW w:w="2050" w:type="dxa"/>
            <w:vAlign w:val="center"/>
          </w:tcPr>
          <w:p w14:paraId="0FAD48A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0.68</w:t>
            </w:r>
          </w:p>
        </w:tc>
        <w:tc>
          <w:tcPr>
            <w:tcW w:w="1707" w:type="dxa"/>
            <w:vAlign w:val="center"/>
          </w:tcPr>
          <w:p w14:paraId="6B6FA40E">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3</w:t>
            </w:r>
          </w:p>
        </w:tc>
      </w:tr>
      <w:tr w14:paraId="63F4F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14:paraId="7EB65776">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生产期4</w:t>
            </w:r>
          </w:p>
        </w:tc>
        <w:tc>
          <w:tcPr>
            <w:tcW w:w="1881" w:type="dxa"/>
            <w:vAlign w:val="center"/>
          </w:tcPr>
          <w:p w14:paraId="597A471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43.00</w:t>
            </w:r>
          </w:p>
        </w:tc>
        <w:tc>
          <w:tcPr>
            <w:tcW w:w="2050" w:type="dxa"/>
            <w:vAlign w:val="center"/>
          </w:tcPr>
          <w:p w14:paraId="7EE46DB9">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0.31</w:t>
            </w:r>
          </w:p>
        </w:tc>
        <w:tc>
          <w:tcPr>
            <w:tcW w:w="1707" w:type="dxa"/>
            <w:vAlign w:val="center"/>
          </w:tcPr>
          <w:p w14:paraId="6D6B7CC8">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4</w:t>
            </w:r>
          </w:p>
        </w:tc>
      </w:tr>
      <w:tr w14:paraId="6618D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14:paraId="45CBB73F">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生产期5</w:t>
            </w:r>
          </w:p>
        </w:tc>
        <w:tc>
          <w:tcPr>
            <w:tcW w:w="1881" w:type="dxa"/>
            <w:vAlign w:val="center"/>
          </w:tcPr>
          <w:p w14:paraId="1B92FEB7">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43.00</w:t>
            </w:r>
          </w:p>
        </w:tc>
        <w:tc>
          <w:tcPr>
            <w:tcW w:w="2050" w:type="dxa"/>
            <w:vAlign w:val="center"/>
          </w:tcPr>
          <w:p w14:paraId="74639919">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0.26</w:t>
            </w:r>
          </w:p>
        </w:tc>
        <w:tc>
          <w:tcPr>
            <w:tcW w:w="1707" w:type="dxa"/>
            <w:vAlign w:val="center"/>
          </w:tcPr>
          <w:p w14:paraId="2D8A9765">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5</w:t>
            </w:r>
          </w:p>
        </w:tc>
      </w:tr>
      <w:tr w14:paraId="39A4E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14:paraId="1DD9D244">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生产期6</w:t>
            </w:r>
          </w:p>
        </w:tc>
        <w:tc>
          <w:tcPr>
            <w:tcW w:w="1881" w:type="dxa"/>
            <w:vAlign w:val="center"/>
          </w:tcPr>
          <w:p w14:paraId="42D29696">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43.00</w:t>
            </w:r>
          </w:p>
        </w:tc>
        <w:tc>
          <w:tcPr>
            <w:tcW w:w="2050" w:type="dxa"/>
            <w:vAlign w:val="center"/>
          </w:tcPr>
          <w:p w14:paraId="101E1145">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0.03</w:t>
            </w:r>
          </w:p>
        </w:tc>
        <w:tc>
          <w:tcPr>
            <w:tcW w:w="1707" w:type="dxa"/>
            <w:vAlign w:val="center"/>
          </w:tcPr>
          <w:p w14:paraId="62887451">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6</w:t>
            </w:r>
          </w:p>
        </w:tc>
      </w:tr>
      <w:tr w14:paraId="7D084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14:paraId="57837D3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生产期7</w:t>
            </w:r>
          </w:p>
        </w:tc>
        <w:tc>
          <w:tcPr>
            <w:tcW w:w="1881" w:type="dxa"/>
            <w:vAlign w:val="center"/>
          </w:tcPr>
          <w:p w14:paraId="24A5BF4C">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43.00</w:t>
            </w:r>
          </w:p>
        </w:tc>
        <w:tc>
          <w:tcPr>
            <w:tcW w:w="2050" w:type="dxa"/>
            <w:vAlign w:val="center"/>
          </w:tcPr>
          <w:p w14:paraId="6CE9127F">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0.03</w:t>
            </w:r>
          </w:p>
        </w:tc>
        <w:tc>
          <w:tcPr>
            <w:tcW w:w="1707" w:type="dxa"/>
            <w:vAlign w:val="center"/>
          </w:tcPr>
          <w:p w14:paraId="497B1CB7">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7</w:t>
            </w:r>
          </w:p>
        </w:tc>
      </w:tr>
      <w:tr w14:paraId="1A14B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14:paraId="1138216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生产期8</w:t>
            </w:r>
          </w:p>
        </w:tc>
        <w:tc>
          <w:tcPr>
            <w:tcW w:w="1881" w:type="dxa"/>
            <w:vAlign w:val="center"/>
          </w:tcPr>
          <w:p w14:paraId="49C702E4">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43.00</w:t>
            </w:r>
          </w:p>
        </w:tc>
        <w:tc>
          <w:tcPr>
            <w:tcW w:w="2050" w:type="dxa"/>
            <w:vAlign w:val="center"/>
          </w:tcPr>
          <w:p w14:paraId="2EAB6D89">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0.01</w:t>
            </w:r>
          </w:p>
        </w:tc>
        <w:tc>
          <w:tcPr>
            <w:tcW w:w="1707" w:type="dxa"/>
            <w:vAlign w:val="center"/>
          </w:tcPr>
          <w:p w14:paraId="6FE3C177">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8</w:t>
            </w:r>
          </w:p>
        </w:tc>
      </w:tr>
      <w:tr w14:paraId="0500E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14:paraId="79627357">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生产期9</w:t>
            </w:r>
          </w:p>
        </w:tc>
        <w:tc>
          <w:tcPr>
            <w:tcW w:w="1881" w:type="dxa"/>
            <w:vAlign w:val="center"/>
          </w:tcPr>
          <w:p w14:paraId="501C344B">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43.00</w:t>
            </w:r>
          </w:p>
        </w:tc>
        <w:tc>
          <w:tcPr>
            <w:tcW w:w="2050" w:type="dxa"/>
            <w:vAlign w:val="center"/>
          </w:tcPr>
          <w:p w14:paraId="7EE70581">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0.001</w:t>
            </w:r>
          </w:p>
        </w:tc>
        <w:tc>
          <w:tcPr>
            <w:tcW w:w="1707" w:type="dxa"/>
            <w:vAlign w:val="center"/>
          </w:tcPr>
          <w:p w14:paraId="4A25AEAC">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9</w:t>
            </w:r>
          </w:p>
        </w:tc>
      </w:tr>
      <w:tr w14:paraId="41648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14:paraId="04E7322C">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生产期10</w:t>
            </w:r>
          </w:p>
        </w:tc>
        <w:tc>
          <w:tcPr>
            <w:tcW w:w="1881" w:type="dxa"/>
            <w:vAlign w:val="center"/>
          </w:tcPr>
          <w:p w14:paraId="0F55F25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39.06</w:t>
            </w:r>
          </w:p>
        </w:tc>
        <w:tc>
          <w:tcPr>
            <w:tcW w:w="2050" w:type="dxa"/>
            <w:vAlign w:val="center"/>
          </w:tcPr>
          <w:p w14:paraId="1B87273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0.001</w:t>
            </w:r>
          </w:p>
        </w:tc>
        <w:tc>
          <w:tcPr>
            <w:tcW w:w="1707" w:type="dxa"/>
            <w:vAlign w:val="center"/>
          </w:tcPr>
          <w:p w14:paraId="60CF5329">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10</w:t>
            </w:r>
          </w:p>
        </w:tc>
      </w:tr>
    </w:tbl>
    <w:p w14:paraId="288265D4">
      <w:pPr>
        <w:spacing w:line="360" w:lineRule="auto"/>
        <w:ind w:firstLine="560" w:firstLineChars="200"/>
        <w:rPr>
          <w:rFonts w:ascii="宋体" w:cs="宋体"/>
          <w:sz w:val="28"/>
          <w:szCs w:val="28"/>
        </w:rPr>
      </w:pPr>
      <w:r>
        <w:rPr>
          <w:rFonts w:hint="eastAsia" w:ascii="宋体" w:cs="宋体"/>
          <w:sz w:val="28"/>
          <w:szCs w:val="28"/>
        </w:rPr>
        <w:t>（2）开采进度计划</w:t>
      </w:r>
    </w:p>
    <w:p w14:paraId="31A1D030">
      <w:pPr>
        <w:spacing w:line="360" w:lineRule="auto"/>
        <w:ind w:firstLine="560" w:firstLineChars="200"/>
        <w:rPr>
          <w:rFonts w:ascii="宋体" w:hAnsi="宋体" w:cs="宋体"/>
          <w:sz w:val="28"/>
          <w:szCs w:val="28"/>
        </w:rPr>
      </w:pPr>
      <w:r>
        <w:rPr>
          <w:rFonts w:hint="eastAsia" w:ascii="宋体" w:hAnsi="宋体"/>
          <w:sz w:val="28"/>
          <w:szCs w:val="28"/>
        </w:rPr>
        <w:t>本次对各年度需要剥离的岩石量进行了估算，实际剥离情况以矿山生产为主，</w:t>
      </w:r>
      <w:r>
        <w:rPr>
          <w:rFonts w:hint="eastAsia" w:ascii="宋体" w:hAnsi="宋体" w:cs="宋体"/>
          <w:sz w:val="28"/>
          <w:szCs w:val="28"/>
        </w:rPr>
        <w:t>露天矿开采进度计划见表4-10。</w:t>
      </w:r>
    </w:p>
    <w:p w14:paraId="58FA34A6">
      <w:pPr>
        <w:pStyle w:val="15"/>
        <w:kinsoku w:val="0"/>
        <w:overflowPunct w:val="0"/>
        <w:spacing w:line="360" w:lineRule="auto"/>
        <w:jc w:val="center"/>
        <w:rPr>
          <w:rFonts w:asciiTheme="minorEastAsia" w:hAnsiTheme="minorEastAsia" w:eastAsiaTheme="minorEastAsia"/>
          <w:szCs w:val="21"/>
        </w:rPr>
      </w:pPr>
      <w:r>
        <w:rPr>
          <w:rFonts w:hint="eastAsia" w:asciiTheme="minorEastAsia" w:hAnsiTheme="minorEastAsia" w:eastAsiaTheme="minorEastAsia"/>
          <w:b/>
          <w:bCs/>
          <w:szCs w:val="21"/>
        </w:rPr>
        <w:t>表</w:t>
      </w:r>
      <w:r>
        <w:rPr>
          <w:rFonts w:asciiTheme="minorEastAsia" w:hAnsiTheme="minorEastAsia" w:eastAsiaTheme="minorEastAsia"/>
          <w:b/>
          <w:bCs/>
          <w:szCs w:val="21"/>
        </w:rPr>
        <w:t>4-</w:t>
      </w:r>
      <w:r>
        <w:rPr>
          <w:rFonts w:hint="eastAsia" w:asciiTheme="minorEastAsia" w:hAnsiTheme="minorEastAsia" w:eastAsiaTheme="minorEastAsia"/>
          <w:b/>
          <w:bCs/>
          <w:szCs w:val="21"/>
        </w:rPr>
        <w:t>10矿山开采进度计划表</w:t>
      </w:r>
    </w:p>
    <w:tbl>
      <w:tblPr>
        <w:tblStyle w:val="42"/>
        <w:tblW w:w="475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25"/>
        <w:gridCol w:w="1238"/>
        <w:gridCol w:w="1284"/>
        <w:gridCol w:w="1065"/>
        <w:gridCol w:w="1274"/>
        <w:gridCol w:w="1394"/>
        <w:gridCol w:w="1230"/>
      </w:tblGrid>
      <w:tr w14:paraId="2C3AFE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25" w:type="dxa"/>
            <w:vAlign w:val="center"/>
          </w:tcPr>
          <w:p w14:paraId="3AAD430B">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pacing w:val="-1"/>
                <w:sz w:val="21"/>
                <w:szCs w:val="21"/>
              </w:rPr>
              <w:t>年度</w:t>
            </w:r>
          </w:p>
          <w:p w14:paraId="78221594">
            <w:pPr>
              <w:pStyle w:val="121"/>
              <w:kinsoku w:val="0"/>
              <w:overflowPunct w:val="0"/>
              <w:adjustRightInd/>
              <w:jc w:val="center"/>
              <w:rPr>
                <w:rFonts w:asciiTheme="minorEastAsia" w:hAnsiTheme="minorEastAsia" w:eastAsiaTheme="minorEastAsia"/>
                <w:b/>
                <w:sz w:val="21"/>
                <w:szCs w:val="21"/>
              </w:rPr>
            </w:pPr>
            <w:r>
              <w:rPr>
                <w:rFonts w:asciiTheme="minorEastAsia" w:hAnsiTheme="minorEastAsia" w:eastAsiaTheme="minorEastAsia"/>
                <w:b/>
                <w:sz w:val="21"/>
                <w:szCs w:val="21"/>
              </w:rPr>
              <w:t>（</w:t>
            </w:r>
            <w:r>
              <w:rPr>
                <w:rFonts w:hint="eastAsia" w:asciiTheme="minorEastAsia" w:hAnsiTheme="minorEastAsia" w:eastAsiaTheme="minorEastAsia"/>
                <w:b/>
                <w:sz w:val="21"/>
                <w:szCs w:val="21"/>
              </w:rPr>
              <w:t>a</w:t>
            </w:r>
            <w:r>
              <w:rPr>
                <w:rFonts w:asciiTheme="minorEastAsia" w:hAnsiTheme="minorEastAsia" w:eastAsiaTheme="minorEastAsia"/>
                <w:b/>
                <w:sz w:val="21"/>
                <w:szCs w:val="21"/>
              </w:rPr>
              <w:t>）</w:t>
            </w:r>
          </w:p>
        </w:tc>
        <w:tc>
          <w:tcPr>
            <w:tcW w:w="1238" w:type="dxa"/>
            <w:vAlign w:val="center"/>
          </w:tcPr>
          <w:p w14:paraId="36BD8AFA">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z w:val="21"/>
                <w:szCs w:val="21"/>
              </w:rPr>
              <w:t>剥离量</w:t>
            </w:r>
          </w:p>
          <w:p w14:paraId="21BF6CD4">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pacing w:val="-1"/>
                <w:sz w:val="21"/>
                <w:szCs w:val="21"/>
              </w:rPr>
              <w:t>（</w:t>
            </w:r>
            <w:r>
              <w:rPr>
                <w:rFonts w:hint="eastAsia" w:cs="宋体" w:asciiTheme="minorEastAsia" w:hAnsiTheme="minorEastAsia" w:eastAsiaTheme="minorEastAsia"/>
                <w:b/>
                <w:sz w:val="21"/>
                <w:szCs w:val="21"/>
              </w:rPr>
              <w:t>万m</w:t>
            </w:r>
            <w:r>
              <w:rPr>
                <w:rFonts w:hint="eastAsia" w:cs="宋体" w:asciiTheme="minorEastAsia" w:hAnsiTheme="minorEastAsia" w:eastAsiaTheme="minorEastAsia"/>
                <w:b/>
                <w:sz w:val="21"/>
                <w:szCs w:val="21"/>
                <w:vertAlign w:val="superscript"/>
              </w:rPr>
              <w:t>3</w:t>
            </w:r>
            <w:r>
              <w:rPr>
                <w:rFonts w:hint="eastAsia" w:cs="宋体" w:asciiTheme="minorEastAsia" w:hAnsiTheme="minorEastAsia" w:eastAsiaTheme="minorEastAsia"/>
                <w:b/>
                <w:sz w:val="21"/>
                <w:szCs w:val="21"/>
              </w:rPr>
              <w:t>）</w:t>
            </w:r>
          </w:p>
        </w:tc>
        <w:tc>
          <w:tcPr>
            <w:tcW w:w="1284" w:type="dxa"/>
            <w:vAlign w:val="center"/>
          </w:tcPr>
          <w:p w14:paraId="036A847F">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z w:val="21"/>
                <w:szCs w:val="21"/>
              </w:rPr>
              <w:t>剥离量累计</w:t>
            </w:r>
          </w:p>
          <w:p w14:paraId="4DBA4A54">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pacing w:val="-1"/>
                <w:sz w:val="21"/>
                <w:szCs w:val="21"/>
              </w:rPr>
              <w:t>（</w:t>
            </w:r>
            <w:r>
              <w:rPr>
                <w:rFonts w:hint="eastAsia" w:cs="宋体" w:asciiTheme="minorEastAsia" w:hAnsiTheme="minorEastAsia" w:eastAsiaTheme="minorEastAsia"/>
                <w:b/>
                <w:sz w:val="21"/>
                <w:szCs w:val="21"/>
              </w:rPr>
              <w:t>万m</w:t>
            </w:r>
            <w:r>
              <w:rPr>
                <w:rFonts w:hint="eastAsia" w:cs="宋体" w:asciiTheme="minorEastAsia" w:hAnsiTheme="minorEastAsia" w:eastAsiaTheme="minorEastAsia"/>
                <w:b/>
                <w:sz w:val="21"/>
                <w:szCs w:val="21"/>
                <w:vertAlign w:val="superscript"/>
              </w:rPr>
              <w:t>3</w:t>
            </w:r>
            <w:r>
              <w:rPr>
                <w:rFonts w:hint="eastAsia" w:cs="宋体" w:asciiTheme="minorEastAsia" w:hAnsiTheme="minorEastAsia" w:eastAsiaTheme="minorEastAsia"/>
                <w:b/>
                <w:sz w:val="21"/>
                <w:szCs w:val="21"/>
              </w:rPr>
              <w:t>）</w:t>
            </w:r>
          </w:p>
        </w:tc>
        <w:tc>
          <w:tcPr>
            <w:tcW w:w="1065" w:type="dxa"/>
            <w:vAlign w:val="center"/>
          </w:tcPr>
          <w:p w14:paraId="088FC5E8">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z w:val="21"/>
                <w:szCs w:val="21"/>
              </w:rPr>
              <w:t>矿石量</w:t>
            </w:r>
          </w:p>
          <w:p w14:paraId="7363B563">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pacing w:val="-1"/>
                <w:sz w:val="21"/>
                <w:szCs w:val="21"/>
              </w:rPr>
              <w:t>（</w:t>
            </w:r>
            <w:r>
              <w:rPr>
                <w:rFonts w:hint="eastAsia" w:cs="宋体" w:asciiTheme="minorEastAsia" w:hAnsiTheme="minorEastAsia" w:eastAsiaTheme="minorEastAsia"/>
                <w:b/>
                <w:sz w:val="21"/>
                <w:szCs w:val="21"/>
              </w:rPr>
              <w:t>万m</w:t>
            </w:r>
            <w:r>
              <w:rPr>
                <w:rFonts w:hint="eastAsia" w:cs="宋体" w:asciiTheme="minorEastAsia" w:hAnsiTheme="minorEastAsia" w:eastAsiaTheme="minorEastAsia"/>
                <w:b/>
                <w:sz w:val="21"/>
                <w:szCs w:val="21"/>
                <w:vertAlign w:val="superscript"/>
              </w:rPr>
              <w:t>3</w:t>
            </w:r>
            <w:r>
              <w:rPr>
                <w:rFonts w:hint="eastAsia" w:cs="宋体" w:asciiTheme="minorEastAsia" w:hAnsiTheme="minorEastAsia" w:eastAsiaTheme="minorEastAsia"/>
                <w:b/>
                <w:sz w:val="21"/>
                <w:szCs w:val="21"/>
              </w:rPr>
              <w:t>）</w:t>
            </w:r>
          </w:p>
        </w:tc>
        <w:tc>
          <w:tcPr>
            <w:tcW w:w="1274" w:type="dxa"/>
            <w:vAlign w:val="center"/>
          </w:tcPr>
          <w:p w14:paraId="445DF481">
            <w:pPr>
              <w:pStyle w:val="121"/>
              <w:kinsoku w:val="0"/>
              <w:overflowPunct w:val="0"/>
              <w:adjustRightInd/>
              <w:jc w:val="center"/>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矿石量累计</w:t>
            </w:r>
          </w:p>
          <w:p w14:paraId="054B2854">
            <w:pPr>
              <w:pStyle w:val="121"/>
              <w:kinsoku w:val="0"/>
              <w:overflowPunct w:val="0"/>
              <w:adjustRightInd/>
              <w:jc w:val="center"/>
              <w:rPr>
                <w:rFonts w:cs="宋体" w:asciiTheme="minorEastAsia" w:hAnsiTheme="minorEastAsia" w:eastAsiaTheme="minorEastAsia"/>
                <w:b/>
                <w:sz w:val="21"/>
                <w:szCs w:val="21"/>
              </w:rPr>
            </w:pPr>
            <w:r>
              <w:rPr>
                <w:rFonts w:hint="eastAsia" w:cs="宋体" w:asciiTheme="minorEastAsia" w:hAnsiTheme="minorEastAsia" w:eastAsiaTheme="minorEastAsia"/>
                <w:b/>
                <w:spacing w:val="-1"/>
                <w:sz w:val="21"/>
                <w:szCs w:val="21"/>
              </w:rPr>
              <w:t>（</w:t>
            </w:r>
            <w:r>
              <w:rPr>
                <w:rFonts w:hint="eastAsia" w:cs="宋体" w:asciiTheme="minorEastAsia" w:hAnsiTheme="minorEastAsia" w:eastAsiaTheme="minorEastAsia"/>
                <w:b/>
                <w:sz w:val="21"/>
                <w:szCs w:val="21"/>
              </w:rPr>
              <w:t>万m</w:t>
            </w:r>
            <w:r>
              <w:rPr>
                <w:rFonts w:hint="eastAsia" w:cs="宋体" w:asciiTheme="minorEastAsia" w:hAnsiTheme="minorEastAsia" w:eastAsiaTheme="minorEastAsia"/>
                <w:b/>
                <w:sz w:val="21"/>
                <w:szCs w:val="21"/>
                <w:vertAlign w:val="superscript"/>
              </w:rPr>
              <w:t>3</w:t>
            </w:r>
            <w:r>
              <w:rPr>
                <w:rFonts w:hint="eastAsia" w:cs="宋体" w:asciiTheme="minorEastAsia" w:hAnsiTheme="minorEastAsia" w:eastAsiaTheme="minorEastAsia"/>
                <w:b/>
                <w:sz w:val="21"/>
                <w:szCs w:val="21"/>
              </w:rPr>
              <w:t>）</w:t>
            </w:r>
          </w:p>
        </w:tc>
        <w:tc>
          <w:tcPr>
            <w:tcW w:w="1394" w:type="dxa"/>
            <w:vAlign w:val="center"/>
          </w:tcPr>
          <w:p w14:paraId="39E472C2">
            <w:pPr>
              <w:pStyle w:val="121"/>
              <w:kinsoku w:val="0"/>
              <w:overflowPunct w:val="0"/>
              <w:adjustRightInd/>
              <w:jc w:val="center"/>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工作阶段标高</w:t>
            </w:r>
          </w:p>
          <w:p w14:paraId="0A992D69">
            <w:pPr>
              <w:pStyle w:val="121"/>
              <w:kinsoku w:val="0"/>
              <w:overflowPunct w:val="0"/>
              <w:adjustRightInd/>
              <w:jc w:val="center"/>
              <w:rPr>
                <w:rFonts w:cs="宋体" w:asciiTheme="minorEastAsia" w:hAnsiTheme="minorEastAsia" w:eastAsiaTheme="minorEastAsia"/>
                <w:b/>
                <w:sz w:val="21"/>
                <w:szCs w:val="21"/>
              </w:rPr>
            </w:pPr>
            <w:r>
              <w:rPr>
                <w:rFonts w:hint="eastAsia" w:cs="宋体" w:asciiTheme="minorEastAsia" w:hAnsiTheme="minorEastAsia" w:eastAsiaTheme="minorEastAsia"/>
                <w:b/>
                <w:spacing w:val="-1"/>
                <w:sz w:val="21"/>
                <w:szCs w:val="21"/>
              </w:rPr>
              <w:t>（</w:t>
            </w:r>
            <w:r>
              <w:rPr>
                <w:rFonts w:cs="宋体" w:asciiTheme="minorEastAsia" w:hAnsiTheme="minorEastAsia" w:eastAsiaTheme="minorEastAsia"/>
                <w:b/>
                <w:sz w:val="21"/>
                <w:szCs w:val="21"/>
              </w:rPr>
              <w:t>m</w:t>
            </w:r>
            <w:r>
              <w:rPr>
                <w:rFonts w:hint="eastAsia" w:cs="宋体" w:asciiTheme="minorEastAsia" w:hAnsiTheme="minorEastAsia" w:eastAsiaTheme="minorEastAsia"/>
                <w:b/>
                <w:sz w:val="21"/>
                <w:szCs w:val="21"/>
              </w:rPr>
              <w:t>）</w:t>
            </w:r>
          </w:p>
        </w:tc>
        <w:tc>
          <w:tcPr>
            <w:tcW w:w="1230" w:type="dxa"/>
            <w:vAlign w:val="center"/>
          </w:tcPr>
          <w:p w14:paraId="650A566B">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z w:val="21"/>
                <w:szCs w:val="21"/>
              </w:rPr>
              <w:t>生产剥采比</w:t>
            </w:r>
          </w:p>
          <w:p w14:paraId="1D40FF04">
            <w:pPr>
              <w:pStyle w:val="121"/>
              <w:kinsoku w:val="0"/>
              <w:overflowPunct w:val="0"/>
              <w:adjustRightInd/>
              <w:jc w:val="center"/>
              <w:rPr>
                <w:rFonts w:asciiTheme="minorEastAsia" w:hAnsiTheme="minorEastAsia" w:eastAsiaTheme="minorEastAsia"/>
                <w:b/>
                <w:sz w:val="21"/>
                <w:szCs w:val="21"/>
              </w:rPr>
            </w:pPr>
            <w:r>
              <w:rPr>
                <w:rFonts w:hint="eastAsia" w:cs="宋体" w:asciiTheme="minorEastAsia" w:hAnsiTheme="minorEastAsia" w:eastAsiaTheme="minorEastAsia"/>
                <w:b/>
                <w:spacing w:val="-1"/>
                <w:sz w:val="21"/>
                <w:szCs w:val="21"/>
              </w:rPr>
              <w:t>（</w:t>
            </w:r>
            <w:r>
              <w:rPr>
                <w:rFonts w:hint="eastAsia" w:cs="宋体" w:asciiTheme="minorEastAsia" w:hAnsiTheme="minorEastAsia" w:eastAsiaTheme="minorEastAsia"/>
                <w:b/>
                <w:sz w:val="21"/>
                <w:szCs w:val="21"/>
              </w:rPr>
              <w:t>m</w:t>
            </w:r>
            <w:r>
              <w:rPr>
                <w:rFonts w:hint="eastAsia" w:cs="宋体" w:asciiTheme="minorEastAsia" w:hAnsiTheme="minorEastAsia" w:eastAsiaTheme="minorEastAsia"/>
                <w:b/>
                <w:sz w:val="21"/>
                <w:szCs w:val="21"/>
                <w:vertAlign w:val="superscript"/>
              </w:rPr>
              <w:t>3</w:t>
            </w:r>
            <w:r>
              <w:rPr>
                <w:rFonts w:hint="eastAsia" w:cs="宋体" w:asciiTheme="minorEastAsia" w:hAnsiTheme="minorEastAsia" w:eastAsiaTheme="minorEastAsia"/>
                <w:b/>
                <w:sz w:val="21"/>
                <w:szCs w:val="21"/>
              </w:rPr>
              <w:t>/m</w:t>
            </w:r>
            <w:r>
              <w:rPr>
                <w:rFonts w:hint="eastAsia" w:cs="宋体" w:asciiTheme="minorEastAsia" w:hAnsiTheme="minorEastAsia" w:eastAsiaTheme="minorEastAsia"/>
                <w:b/>
                <w:sz w:val="21"/>
                <w:szCs w:val="21"/>
                <w:vertAlign w:val="superscript"/>
              </w:rPr>
              <w:t>3</w:t>
            </w:r>
            <w:r>
              <w:rPr>
                <w:rFonts w:hint="eastAsia" w:cs="宋体" w:asciiTheme="minorEastAsia" w:hAnsiTheme="minorEastAsia" w:eastAsiaTheme="minorEastAsia"/>
                <w:b/>
                <w:sz w:val="21"/>
                <w:szCs w:val="21"/>
              </w:rPr>
              <w:t>）</w:t>
            </w:r>
          </w:p>
        </w:tc>
      </w:tr>
      <w:tr w14:paraId="553FB2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25" w:type="dxa"/>
            <w:vAlign w:val="center"/>
          </w:tcPr>
          <w:p w14:paraId="6817E74F">
            <w:pPr>
              <w:pStyle w:val="121"/>
              <w:kinsoku w:val="0"/>
              <w:overflowPunct w:val="0"/>
              <w:adjustRightInd/>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c>
          <w:tcPr>
            <w:tcW w:w="1238" w:type="dxa"/>
            <w:vAlign w:val="center"/>
          </w:tcPr>
          <w:p w14:paraId="52B6CD4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57.65 </w:t>
            </w:r>
          </w:p>
        </w:tc>
        <w:tc>
          <w:tcPr>
            <w:tcW w:w="1284" w:type="dxa"/>
            <w:vAlign w:val="center"/>
          </w:tcPr>
          <w:p w14:paraId="5D307ADF">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57.65 </w:t>
            </w:r>
          </w:p>
        </w:tc>
        <w:tc>
          <w:tcPr>
            <w:tcW w:w="1065" w:type="dxa"/>
            <w:vAlign w:val="center"/>
          </w:tcPr>
          <w:p w14:paraId="28EAC1E6">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43.00 </w:t>
            </w:r>
          </w:p>
        </w:tc>
        <w:tc>
          <w:tcPr>
            <w:tcW w:w="1274" w:type="dxa"/>
            <w:vAlign w:val="center"/>
          </w:tcPr>
          <w:p w14:paraId="6242233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43.00 </w:t>
            </w:r>
          </w:p>
        </w:tc>
        <w:tc>
          <w:tcPr>
            <w:tcW w:w="1394" w:type="dxa"/>
            <w:vAlign w:val="center"/>
          </w:tcPr>
          <w:p w14:paraId="126606B5">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220～260、210</w:t>
            </w:r>
          </w:p>
        </w:tc>
        <w:tc>
          <w:tcPr>
            <w:tcW w:w="1230" w:type="dxa"/>
            <w:vAlign w:val="center"/>
          </w:tcPr>
          <w:p w14:paraId="4A87B5D8">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1.34 </w:t>
            </w:r>
          </w:p>
        </w:tc>
      </w:tr>
      <w:tr w14:paraId="2A3297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25" w:type="dxa"/>
            <w:vAlign w:val="center"/>
          </w:tcPr>
          <w:p w14:paraId="168AE34B">
            <w:pPr>
              <w:pStyle w:val="121"/>
              <w:kinsoku w:val="0"/>
              <w:overflowPunct w:val="0"/>
              <w:adjustRightInd/>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w:t>
            </w:r>
          </w:p>
        </w:tc>
        <w:tc>
          <w:tcPr>
            <w:tcW w:w="1238" w:type="dxa"/>
            <w:vAlign w:val="center"/>
          </w:tcPr>
          <w:p w14:paraId="33F331B1">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35.47 </w:t>
            </w:r>
          </w:p>
        </w:tc>
        <w:tc>
          <w:tcPr>
            <w:tcW w:w="1284" w:type="dxa"/>
            <w:vAlign w:val="center"/>
          </w:tcPr>
          <w:p w14:paraId="3BF8A4D6">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93.11 </w:t>
            </w:r>
          </w:p>
        </w:tc>
        <w:tc>
          <w:tcPr>
            <w:tcW w:w="1065" w:type="dxa"/>
            <w:vAlign w:val="center"/>
          </w:tcPr>
          <w:p w14:paraId="400326F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43.00 </w:t>
            </w:r>
          </w:p>
        </w:tc>
        <w:tc>
          <w:tcPr>
            <w:tcW w:w="1274" w:type="dxa"/>
            <w:vAlign w:val="center"/>
          </w:tcPr>
          <w:p w14:paraId="6858DE08">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86.00 </w:t>
            </w:r>
          </w:p>
        </w:tc>
        <w:tc>
          <w:tcPr>
            <w:tcW w:w="1394" w:type="dxa"/>
            <w:vAlign w:val="center"/>
          </w:tcPr>
          <w:p w14:paraId="2F0CFD3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210、200</w:t>
            </w:r>
          </w:p>
        </w:tc>
        <w:tc>
          <w:tcPr>
            <w:tcW w:w="1230" w:type="dxa"/>
            <w:vAlign w:val="center"/>
          </w:tcPr>
          <w:p w14:paraId="08BCF7BF">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0.82 </w:t>
            </w:r>
          </w:p>
        </w:tc>
      </w:tr>
      <w:tr w14:paraId="27A422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25" w:type="dxa"/>
            <w:vAlign w:val="center"/>
          </w:tcPr>
          <w:p w14:paraId="0DF5028F">
            <w:pPr>
              <w:pStyle w:val="121"/>
              <w:kinsoku w:val="0"/>
              <w:overflowPunct w:val="0"/>
              <w:adjustRightInd/>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3</w:t>
            </w:r>
          </w:p>
        </w:tc>
        <w:tc>
          <w:tcPr>
            <w:tcW w:w="1238" w:type="dxa"/>
            <w:vAlign w:val="center"/>
          </w:tcPr>
          <w:p w14:paraId="67742ADB">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29.21 </w:t>
            </w:r>
          </w:p>
        </w:tc>
        <w:tc>
          <w:tcPr>
            <w:tcW w:w="1284" w:type="dxa"/>
            <w:vAlign w:val="center"/>
          </w:tcPr>
          <w:p w14:paraId="3E6404DB">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122.32 </w:t>
            </w:r>
          </w:p>
        </w:tc>
        <w:tc>
          <w:tcPr>
            <w:tcW w:w="1065" w:type="dxa"/>
            <w:vAlign w:val="center"/>
          </w:tcPr>
          <w:p w14:paraId="7CDF2783">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43.00 </w:t>
            </w:r>
          </w:p>
        </w:tc>
        <w:tc>
          <w:tcPr>
            <w:tcW w:w="1274" w:type="dxa"/>
            <w:vAlign w:val="center"/>
          </w:tcPr>
          <w:p w14:paraId="3F2CC67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129.00 </w:t>
            </w:r>
          </w:p>
        </w:tc>
        <w:tc>
          <w:tcPr>
            <w:tcW w:w="1394" w:type="dxa"/>
            <w:vAlign w:val="center"/>
          </w:tcPr>
          <w:p w14:paraId="063CF309">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190、200</w:t>
            </w:r>
          </w:p>
        </w:tc>
        <w:tc>
          <w:tcPr>
            <w:tcW w:w="1230" w:type="dxa"/>
            <w:vAlign w:val="center"/>
          </w:tcPr>
          <w:p w14:paraId="6C0B972F">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0.68 </w:t>
            </w:r>
          </w:p>
        </w:tc>
      </w:tr>
      <w:tr w14:paraId="4FE3B1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25" w:type="dxa"/>
            <w:vAlign w:val="center"/>
          </w:tcPr>
          <w:p w14:paraId="70E52CE7">
            <w:pPr>
              <w:pStyle w:val="121"/>
              <w:kinsoku w:val="0"/>
              <w:overflowPunct w:val="0"/>
              <w:adjustRightInd/>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4</w:t>
            </w:r>
          </w:p>
        </w:tc>
        <w:tc>
          <w:tcPr>
            <w:tcW w:w="1238" w:type="dxa"/>
            <w:vAlign w:val="center"/>
          </w:tcPr>
          <w:p w14:paraId="1B86ABE6">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13.34 </w:t>
            </w:r>
          </w:p>
        </w:tc>
        <w:tc>
          <w:tcPr>
            <w:tcW w:w="1284" w:type="dxa"/>
            <w:vAlign w:val="center"/>
          </w:tcPr>
          <w:p w14:paraId="5D74055C">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135.66 </w:t>
            </w:r>
          </w:p>
        </w:tc>
        <w:tc>
          <w:tcPr>
            <w:tcW w:w="1065" w:type="dxa"/>
            <w:vAlign w:val="center"/>
          </w:tcPr>
          <w:p w14:paraId="48B99A3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43.00 </w:t>
            </w:r>
          </w:p>
        </w:tc>
        <w:tc>
          <w:tcPr>
            <w:tcW w:w="1274" w:type="dxa"/>
            <w:vAlign w:val="center"/>
          </w:tcPr>
          <w:p w14:paraId="45F622A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172.00 </w:t>
            </w:r>
          </w:p>
        </w:tc>
        <w:tc>
          <w:tcPr>
            <w:tcW w:w="1394" w:type="dxa"/>
            <w:vAlign w:val="center"/>
          </w:tcPr>
          <w:p w14:paraId="37D4782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190～200</w:t>
            </w:r>
          </w:p>
        </w:tc>
        <w:tc>
          <w:tcPr>
            <w:tcW w:w="1230" w:type="dxa"/>
            <w:vAlign w:val="center"/>
          </w:tcPr>
          <w:p w14:paraId="52C43E0B">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0.31 </w:t>
            </w:r>
          </w:p>
        </w:tc>
      </w:tr>
      <w:tr w14:paraId="257179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25" w:type="dxa"/>
            <w:vAlign w:val="center"/>
          </w:tcPr>
          <w:p w14:paraId="6FAC8F85">
            <w:pPr>
              <w:pStyle w:val="121"/>
              <w:kinsoku w:val="0"/>
              <w:overflowPunct w:val="0"/>
              <w:adjustRightInd/>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5</w:t>
            </w:r>
          </w:p>
        </w:tc>
        <w:tc>
          <w:tcPr>
            <w:tcW w:w="1238" w:type="dxa"/>
            <w:vAlign w:val="center"/>
          </w:tcPr>
          <w:p w14:paraId="039A6D9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11.08 </w:t>
            </w:r>
          </w:p>
        </w:tc>
        <w:tc>
          <w:tcPr>
            <w:tcW w:w="1284" w:type="dxa"/>
            <w:vAlign w:val="center"/>
          </w:tcPr>
          <w:p w14:paraId="4EF251C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146.74 </w:t>
            </w:r>
          </w:p>
        </w:tc>
        <w:tc>
          <w:tcPr>
            <w:tcW w:w="1065" w:type="dxa"/>
            <w:vAlign w:val="center"/>
          </w:tcPr>
          <w:p w14:paraId="5A683FD1">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43.00 </w:t>
            </w:r>
          </w:p>
        </w:tc>
        <w:tc>
          <w:tcPr>
            <w:tcW w:w="1274" w:type="dxa"/>
            <w:vAlign w:val="center"/>
          </w:tcPr>
          <w:p w14:paraId="4CFD688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215.00 </w:t>
            </w:r>
          </w:p>
        </w:tc>
        <w:tc>
          <w:tcPr>
            <w:tcW w:w="1394" w:type="dxa"/>
            <w:vAlign w:val="center"/>
          </w:tcPr>
          <w:p w14:paraId="69459961">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190～200</w:t>
            </w:r>
          </w:p>
        </w:tc>
        <w:tc>
          <w:tcPr>
            <w:tcW w:w="1230" w:type="dxa"/>
            <w:vAlign w:val="center"/>
          </w:tcPr>
          <w:p w14:paraId="096108E4">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0.26 </w:t>
            </w:r>
          </w:p>
        </w:tc>
      </w:tr>
      <w:tr w14:paraId="31527D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25" w:type="dxa"/>
            <w:vAlign w:val="center"/>
          </w:tcPr>
          <w:p w14:paraId="2A745A6E">
            <w:pPr>
              <w:pStyle w:val="121"/>
              <w:kinsoku w:val="0"/>
              <w:overflowPunct w:val="0"/>
              <w:adjustRightInd/>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6</w:t>
            </w:r>
          </w:p>
        </w:tc>
        <w:tc>
          <w:tcPr>
            <w:tcW w:w="1238" w:type="dxa"/>
            <w:vAlign w:val="center"/>
          </w:tcPr>
          <w:p w14:paraId="48E6FCE0">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1.42 </w:t>
            </w:r>
          </w:p>
        </w:tc>
        <w:tc>
          <w:tcPr>
            <w:tcW w:w="1284" w:type="dxa"/>
            <w:vAlign w:val="center"/>
          </w:tcPr>
          <w:p w14:paraId="2E266285">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148.16 </w:t>
            </w:r>
          </w:p>
        </w:tc>
        <w:tc>
          <w:tcPr>
            <w:tcW w:w="1065" w:type="dxa"/>
            <w:vAlign w:val="center"/>
          </w:tcPr>
          <w:p w14:paraId="2362FE5F">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43.00 </w:t>
            </w:r>
          </w:p>
        </w:tc>
        <w:tc>
          <w:tcPr>
            <w:tcW w:w="1274" w:type="dxa"/>
            <w:vAlign w:val="center"/>
          </w:tcPr>
          <w:p w14:paraId="20B4009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258.00 </w:t>
            </w:r>
          </w:p>
        </w:tc>
        <w:tc>
          <w:tcPr>
            <w:tcW w:w="1394" w:type="dxa"/>
            <w:vAlign w:val="center"/>
          </w:tcPr>
          <w:p w14:paraId="328D4D4D">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180～190</w:t>
            </w:r>
          </w:p>
        </w:tc>
        <w:tc>
          <w:tcPr>
            <w:tcW w:w="1230" w:type="dxa"/>
            <w:vAlign w:val="center"/>
          </w:tcPr>
          <w:p w14:paraId="628A73A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0.03 </w:t>
            </w:r>
          </w:p>
        </w:tc>
      </w:tr>
      <w:tr w14:paraId="10F4CC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25" w:type="dxa"/>
            <w:vAlign w:val="center"/>
          </w:tcPr>
          <w:p w14:paraId="4C6506A1">
            <w:pPr>
              <w:pStyle w:val="121"/>
              <w:kinsoku w:val="0"/>
              <w:overflowPunct w:val="0"/>
              <w:adjustRightInd/>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7</w:t>
            </w:r>
          </w:p>
        </w:tc>
        <w:tc>
          <w:tcPr>
            <w:tcW w:w="1238" w:type="dxa"/>
            <w:vAlign w:val="center"/>
          </w:tcPr>
          <w:p w14:paraId="4F9E29E8">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1.42 </w:t>
            </w:r>
          </w:p>
        </w:tc>
        <w:tc>
          <w:tcPr>
            <w:tcW w:w="1284" w:type="dxa"/>
            <w:vAlign w:val="center"/>
          </w:tcPr>
          <w:p w14:paraId="0B3A1ED4">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149.59 </w:t>
            </w:r>
          </w:p>
        </w:tc>
        <w:tc>
          <w:tcPr>
            <w:tcW w:w="1065" w:type="dxa"/>
            <w:vAlign w:val="center"/>
          </w:tcPr>
          <w:p w14:paraId="4D6F290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43.00 </w:t>
            </w:r>
          </w:p>
        </w:tc>
        <w:tc>
          <w:tcPr>
            <w:tcW w:w="1274" w:type="dxa"/>
            <w:vAlign w:val="center"/>
          </w:tcPr>
          <w:p w14:paraId="76377CE4">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301.00 </w:t>
            </w:r>
          </w:p>
        </w:tc>
        <w:tc>
          <w:tcPr>
            <w:tcW w:w="1394" w:type="dxa"/>
            <w:vAlign w:val="center"/>
          </w:tcPr>
          <w:p w14:paraId="438BC26D">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180～190</w:t>
            </w:r>
          </w:p>
        </w:tc>
        <w:tc>
          <w:tcPr>
            <w:tcW w:w="1230" w:type="dxa"/>
            <w:vAlign w:val="center"/>
          </w:tcPr>
          <w:p w14:paraId="3E29646B">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0.03 </w:t>
            </w:r>
          </w:p>
        </w:tc>
      </w:tr>
      <w:tr w14:paraId="57E59C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25" w:type="dxa"/>
            <w:vAlign w:val="center"/>
          </w:tcPr>
          <w:p w14:paraId="10E5BA61">
            <w:pPr>
              <w:pStyle w:val="121"/>
              <w:kinsoku w:val="0"/>
              <w:overflowPunct w:val="0"/>
              <w:adjustRightInd/>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8</w:t>
            </w:r>
          </w:p>
        </w:tc>
        <w:tc>
          <w:tcPr>
            <w:tcW w:w="1238" w:type="dxa"/>
            <w:vAlign w:val="center"/>
          </w:tcPr>
          <w:p w14:paraId="74FEE33B">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0.58 </w:t>
            </w:r>
          </w:p>
        </w:tc>
        <w:tc>
          <w:tcPr>
            <w:tcW w:w="1284" w:type="dxa"/>
            <w:vAlign w:val="center"/>
          </w:tcPr>
          <w:p w14:paraId="4BD94EA3">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150.17 </w:t>
            </w:r>
          </w:p>
        </w:tc>
        <w:tc>
          <w:tcPr>
            <w:tcW w:w="1065" w:type="dxa"/>
            <w:vAlign w:val="center"/>
          </w:tcPr>
          <w:p w14:paraId="7A6F6EC8">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43.00 </w:t>
            </w:r>
          </w:p>
        </w:tc>
        <w:tc>
          <w:tcPr>
            <w:tcW w:w="1274" w:type="dxa"/>
            <w:vAlign w:val="center"/>
          </w:tcPr>
          <w:p w14:paraId="1CA71C4F">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344.00 </w:t>
            </w:r>
          </w:p>
        </w:tc>
        <w:tc>
          <w:tcPr>
            <w:tcW w:w="1394" w:type="dxa"/>
            <w:vAlign w:val="center"/>
          </w:tcPr>
          <w:p w14:paraId="6EF9E2CE">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180～190</w:t>
            </w:r>
          </w:p>
        </w:tc>
        <w:tc>
          <w:tcPr>
            <w:tcW w:w="1230" w:type="dxa"/>
            <w:vAlign w:val="center"/>
          </w:tcPr>
          <w:p w14:paraId="695EC0C6">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0.01 </w:t>
            </w:r>
          </w:p>
        </w:tc>
      </w:tr>
      <w:tr w14:paraId="2A5859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25" w:type="dxa"/>
            <w:vAlign w:val="center"/>
          </w:tcPr>
          <w:p w14:paraId="1009EB65">
            <w:pPr>
              <w:pStyle w:val="121"/>
              <w:kinsoku w:val="0"/>
              <w:overflowPunct w:val="0"/>
              <w:adjustRightInd/>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9</w:t>
            </w:r>
          </w:p>
        </w:tc>
        <w:tc>
          <w:tcPr>
            <w:tcW w:w="1238" w:type="dxa"/>
            <w:vAlign w:val="center"/>
          </w:tcPr>
          <w:p w14:paraId="7FF065E3">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0.04 </w:t>
            </w:r>
          </w:p>
        </w:tc>
        <w:tc>
          <w:tcPr>
            <w:tcW w:w="1284" w:type="dxa"/>
            <w:vAlign w:val="center"/>
          </w:tcPr>
          <w:p w14:paraId="40280DE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150.21 </w:t>
            </w:r>
          </w:p>
        </w:tc>
        <w:tc>
          <w:tcPr>
            <w:tcW w:w="1065" w:type="dxa"/>
            <w:vAlign w:val="center"/>
          </w:tcPr>
          <w:p w14:paraId="4DADEAF5">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43.00 </w:t>
            </w:r>
          </w:p>
        </w:tc>
        <w:tc>
          <w:tcPr>
            <w:tcW w:w="1274" w:type="dxa"/>
            <w:vAlign w:val="center"/>
          </w:tcPr>
          <w:p w14:paraId="21751BAA">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387.00 </w:t>
            </w:r>
          </w:p>
        </w:tc>
        <w:tc>
          <w:tcPr>
            <w:tcW w:w="1394" w:type="dxa"/>
            <w:vAlign w:val="center"/>
          </w:tcPr>
          <w:p w14:paraId="050F09E1">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170～180</w:t>
            </w:r>
          </w:p>
        </w:tc>
        <w:tc>
          <w:tcPr>
            <w:tcW w:w="1230" w:type="dxa"/>
            <w:vAlign w:val="center"/>
          </w:tcPr>
          <w:p w14:paraId="036C43E9">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0.001 </w:t>
            </w:r>
          </w:p>
        </w:tc>
      </w:tr>
      <w:tr w14:paraId="554CC5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25" w:type="dxa"/>
            <w:vAlign w:val="center"/>
          </w:tcPr>
          <w:p w14:paraId="134E3140">
            <w:pPr>
              <w:pStyle w:val="121"/>
              <w:kinsoku w:val="0"/>
              <w:overflowPunct w:val="0"/>
              <w:adjustRightInd/>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10</w:t>
            </w:r>
          </w:p>
        </w:tc>
        <w:tc>
          <w:tcPr>
            <w:tcW w:w="1238" w:type="dxa"/>
            <w:vAlign w:val="center"/>
          </w:tcPr>
          <w:p w14:paraId="3658379C">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0.03 </w:t>
            </w:r>
          </w:p>
        </w:tc>
        <w:tc>
          <w:tcPr>
            <w:tcW w:w="1284" w:type="dxa"/>
            <w:vAlign w:val="center"/>
          </w:tcPr>
          <w:p w14:paraId="4E9FCD5B">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150.24 </w:t>
            </w:r>
          </w:p>
        </w:tc>
        <w:tc>
          <w:tcPr>
            <w:tcW w:w="1065" w:type="dxa"/>
            <w:vAlign w:val="center"/>
          </w:tcPr>
          <w:p w14:paraId="11095765">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39.06 </w:t>
            </w:r>
          </w:p>
        </w:tc>
        <w:tc>
          <w:tcPr>
            <w:tcW w:w="1274" w:type="dxa"/>
            <w:vAlign w:val="center"/>
          </w:tcPr>
          <w:p w14:paraId="750AEBD4">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426.06 </w:t>
            </w:r>
          </w:p>
        </w:tc>
        <w:tc>
          <w:tcPr>
            <w:tcW w:w="1394" w:type="dxa"/>
            <w:vAlign w:val="center"/>
          </w:tcPr>
          <w:p w14:paraId="36E57702">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170～180</w:t>
            </w:r>
          </w:p>
        </w:tc>
        <w:tc>
          <w:tcPr>
            <w:tcW w:w="1230" w:type="dxa"/>
            <w:vAlign w:val="center"/>
          </w:tcPr>
          <w:p w14:paraId="3C0F93B3">
            <w:pPr>
              <w:jc w:val="center"/>
              <w:rPr>
                <w:rFonts w:cs="宋体"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0.001 </w:t>
            </w:r>
          </w:p>
        </w:tc>
      </w:tr>
      <w:tr w14:paraId="5B6260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8310" w:type="dxa"/>
            <w:gridSpan w:val="7"/>
            <w:vAlign w:val="center"/>
          </w:tcPr>
          <w:p w14:paraId="334C4DC3">
            <w:pPr>
              <w:pStyle w:val="121"/>
              <w:kinsoku w:val="0"/>
              <w:overflowPunct w:val="0"/>
              <w:adjustRightInd/>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主要设备：卡特彼勒 340D2L液压</w:t>
            </w:r>
            <w:r>
              <w:rPr>
                <w:rFonts w:cs="宋体" w:asciiTheme="minorEastAsia" w:hAnsiTheme="minorEastAsia" w:eastAsiaTheme="minorEastAsia"/>
                <w:sz w:val="21"/>
                <w:szCs w:val="21"/>
              </w:rPr>
              <w:t>挖掘机</w:t>
            </w:r>
            <w:r>
              <w:rPr>
                <w:rFonts w:hint="eastAsia" w:cs="宋体" w:asciiTheme="minorEastAsia" w:hAnsiTheme="minorEastAsia" w:eastAsiaTheme="minorEastAsia"/>
                <w:sz w:val="21"/>
                <w:szCs w:val="21"/>
              </w:rPr>
              <w:t>（斗容2.12方）</w:t>
            </w:r>
            <w:r>
              <w:rPr>
                <w:rFonts w:cs="宋体" w:asciiTheme="minorEastAsia" w:hAnsiTheme="minorEastAsia" w:eastAsiaTheme="minorEastAsia"/>
                <w:sz w:val="21"/>
                <w:szCs w:val="21"/>
              </w:rPr>
              <w:t>、福田</w:t>
            </w:r>
            <w:r>
              <w:rPr>
                <w:rFonts w:hint="eastAsia" w:cs="宋体" w:asciiTheme="minorEastAsia" w:hAnsiTheme="minorEastAsia" w:eastAsiaTheme="minorEastAsia"/>
                <w:sz w:val="21"/>
                <w:szCs w:val="21"/>
              </w:rPr>
              <w:t>欧曼GTL卡车</w:t>
            </w:r>
          </w:p>
        </w:tc>
      </w:tr>
    </w:tbl>
    <w:p w14:paraId="68D5F377">
      <w:pPr>
        <w:pStyle w:val="5"/>
        <w:spacing w:beforeLines="50" w:line="360" w:lineRule="auto"/>
        <w:ind w:firstLine="542" w:firstLineChars="200"/>
        <w:rPr>
          <w:rFonts w:ascii="宋体" w:hAnsi="宋体" w:cs="宋体"/>
          <w:spacing w:val="-5"/>
          <w:sz w:val="28"/>
          <w:szCs w:val="28"/>
        </w:rPr>
      </w:pPr>
      <w:bookmarkStart w:id="209" w:name="_Toc376935643"/>
      <w:bookmarkStart w:id="210" w:name="_Toc28010"/>
      <w:bookmarkStart w:id="211" w:name="_Toc14558"/>
      <w:bookmarkStart w:id="212" w:name="_Toc15410"/>
      <w:bookmarkStart w:id="213" w:name="_Toc20388"/>
      <w:r>
        <w:rPr>
          <w:rFonts w:hint="eastAsia" w:ascii="宋体" w:hAnsi="宋体" w:cs="宋体"/>
          <w:spacing w:val="-5"/>
          <w:sz w:val="28"/>
          <w:szCs w:val="28"/>
        </w:rPr>
        <w:t>9、矿山防治水</w:t>
      </w:r>
      <w:bookmarkEnd w:id="209"/>
      <w:r>
        <w:rPr>
          <w:rFonts w:hint="eastAsia" w:ascii="宋体" w:hAnsi="宋体" w:cs="宋体"/>
          <w:spacing w:val="-5"/>
          <w:sz w:val="28"/>
          <w:szCs w:val="28"/>
        </w:rPr>
        <w:t>方案</w:t>
      </w:r>
      <w:bookmarkEnd w:id="210"/>
      <w:bookmarkEnd w:id="211"/>
      <w:bookmarkEnd w:id="212"/>
      <w:bookmarkEnd w:id="213"/>
    </w:p>
    <w:p w14:paraId="66214816">
      <w:pPr>
        <w:spacing w:line="360" w:lineRule="auto"/>
        <w:ind w:firstLine="560" w:firstLineChars="200"/>
        <w:rPr>
          <w:rFonts w:ascii="宋体" w:cs="宋体"/>
          <w:sz w:val="28"/>
          <w:szCs w:val="28"/>
        </w:rPr>
      </w:pPr>
      <w:r>
        <w:rPr>
          <w:rFonts w:hint="eastAsia" w:ascii="宋体" w:cs="宋体"/>
          <w:sz w:val="28"/>
          <w:szCs w:val="28"/>
        </w:rPr>
        <w:t>矿区地势大体是西南高东北低的地形，开采矿体位于当地侵蚀基准面以上，矿坑涌水量应为露天采坑大气降水落入量和地下水涌水量之和。由于地下水含水层富水性弱，补给全部来源于大气降水，且富水性弱。因此，露天采坑涌水量预测可全部视为大气降水落入量。。</w:t>
      </w:r>
    </w:p>
    <w:p w14:paraId="71513D15">
      <w:pPr>
        <w:spacing w:line="360" w:lineRule="auto"/>
        <w:ind w:firstLine="560" w:firstLineChars="200"/>
        <w:rPr>
          <w:rFonts w:ascii="宋体" w:cs="宋体"/>
          <w:sz w:val="28"/>
          <w:szCs w:val="28"/>
        </w:rPr>
      </w:pPr>
      <w:r>
        <w:rPr>
          <w:rFonts w:hint="eastAsia" w:ascii="宋体" w:cs="宋体"/>
          <w:sz w:val="28"/>
          <w:szCs w:val="28"/>
        </w:rPr>
        <w:t>计算公式为Q= XF/t</w:t>
      </w:r>
    </w:p>
    <w:p w14:paraId="351CED98">
      <w:pPr>
        <w:spacing w:line="360" w:lineRule="auto"/>
        <w:ind w:firstLine="560" w:firstLineChars="200"/>
        <w:rPr>
          <w:rFonts w:ascii="宋体" w:cs="宋体"/>
          <w:sz w:val="28"/>
          <w:szCs w:val="28"/>
        </w:rPr>
      </w:pPr>
      <w:r>
        <w:rPr>
          <w:rFonts w:hint="eastAsia" w:ascii="宋体" w:cs="宋体"/>
          <w:sz w:val="28"/>
          <w:szCs w:val="28"/>
        </w:rPr>
        <w:t>式中：Q-矿坑涌水量</w:t>
      </w:r>
    </w:p>
    <w:p w14:paraId="473CC6E0">
      <w:pPr>
        <w:spacing w:line="360" w:lineRule="auto"/>
        <w:ind w:firstLine="560" w:firstLineChars="200"/>
        <w:rPr>
          <w:rFonts w:ascii="宋体" w:cs="宋体"/>
          <w:sz w:val="28"/>
          <w:szCs w:val="28"/>
        </w:rPr>
      </w:pPr>
      <w:r>
        <w:rPr>
          <w:rFonts w:hint="eastAsia" w:ascii="宋体" w:cs="宋体"/>
          <w:sz w:val="28"/>
          <w:szCs w:val="28"/>
        </w:rPr>
        <w:t xml:space="preserve">      X-年平均降水量（一般取丰水年资料），m； </w:t>
      </w:r>
    </w:p>
    <w:p w14:paraId="51067A1B">
      <w:pPr>
        <w:spacing w:line="360" w:lineRule="auto"/>
        <w:ind w:firstLine="1400" w:firstLineChars="500"/>
        <w:rPr>
          <w:rFonts w:ascii="宋体" w:cs="宋体"/>
          <w:sz w:val="28"/>
          <w:szCs w:val="28"/>
        </w:rPr>
      </w:pPr>
      <w:r>
        <w:rPr>
          <w:rFonts w:hint="eastAsia" w:ascii="宋体" w:cs="宋体"/>
          <w:sz w:val="28"/>
          <w:szCs w:val="28"/>
        </w:rPr>
        <w:t>F-汇水面积，m</w:t>
      </w:r>
      <w:r>
        <w:rPr>
          <w:rFonts w:hint="eastAsia" w:ascii="宋体" w:cs="宋体"/>
          <w:sz w:val="28"/>
          <w:szCs w:val="28"/>
          <w:vertAlign w:val="superscript"/>
        </w:rPr>
        <w:t>2</w:t>
      </w:r>
      <w:r>
        <w:rPr>
          <w:rFonts w:hint="eastAsia" w:ascii="宋体" w:cs="宋体"/>
          <w:sz w:val="28"/>
          <w:szCs w:val="28"/>
        </w:rPr>
        <w:t>；</w:t>
      </w:r>
    </w:p>
    <w:p w14:paraId="5EA8CEDF">
      <w:pPr>
        <w:spacing w:line="360" w:lineRule="auto"/>
        <w:ind w:firstLine="1400" w:firstLineChars="500"/>
        <w:rPr>
          <w:rFonts w:ascii="宋体" w:cs="宋体"/>
          <w:sz w:val="28"/>
          <w:szCs w:val="28"/>
        </w:rPr>
      </w:pPr>
      <w:r>
        <w:rPr>
          <w:rFonts w:hint="eastAsia" w:ascii="宋体" w:cs="宋体"/>
          <w:sz w:val="28"/>
          <w:szCs w:val="28"/>
        </w:rPr>
        <w:t>T-一年时间，d。</w:t>
      </w:r>
    </w:p>
    <w:p w14:paraId="74F7565D">
      <w:pPr>
        <w:spacing w:line="360" w:lineRule="auto"/>
        <w:ind w:firstLine="560" w:firstLineChars="200"/>
        <w:rPr>
          <w:rFonts w:ascii="宋体" w:cs="宋体"/>
          <w:sz w:val="28"/>
          <w:szCs w:val="28"/>
        </w:rPr>
      </w:pPr>
      <w:r>
        <w:rPr>
          <w:rFonts w:hint="eastAsia" w:ascii="宋体" w:cs="宋体"/>
          <w:sz w:val="28"/>
          <w:szCs w:val="28"/>
        </w:rPr>
        <w:t>矿区年平均降水量为0.750m，日最大降水量0.186m，8月平均降雨量0.224m，矿坑开采区周围汇水面积为200814m</w:t>
      </w:r>
      <w:r>
        <w:rPr>
          <w:rFonts w:hint="eastAsia" w:ascii="宋体" w:cs="宋体"/>
          <w:sz w:val="28"/>
          <w:szCs w:val="28"/>
          <w:vertAlign w:val="superscript"/>
        </w:rPr>
        <w:t>2</w:t>
      </w:r>
      <w:r>
        <w:rPr>
          <w:rFonts w:hint="eastAsia" w:ascii="宋体" w:cs="宋体"/>
          <w:sz w:val="28"/>
          <w:szCs w:val="28"/>
        </w:rPr>
        <w:t>，计算时间为一年。未来矿坑全年日平均涌水量、矿坑日最大涌水量和8月平均涌水量预测结果分别为413m</w:t>
      </w:r>
      <w:r>
        <w:rPr>
          <w:rFonts w:hint="eastAsia" w:ascii="宋体" w:cs="宋体"/>
          <w:sz w:val="28"/>
          <w:szCs w:val="28"/>
          <w:vertAlign w:val="superscript"/>
        </w:rPr>
        <w:t>3</w:t>
      </w:r>
      <w:r>
        <w:rPr>
          <w:rFonts w:hint="eastAsia" w:ascii="宋体" w:cs="宋体"/>
          <w:sz w:val="28"/>
          <w:szCs w:val="28"/>
        </w:rPr>
        <w:t>/日、37351m</w:t>
      </w:r>
      <w:r>
        <w:rPr>
          <w:rFonts w:hint="eastAsia" w:ascii="宋体" w:cs="宋体"/>
          <w:sz w:val="28"/>
          <w:szCs w:val="28"/>
          <w:vertAlign w:val="superscript"/>
        </w:rPr>
        <w:t>3</w:t>
      </w:r>
      <w:r>
        <w:rPr>
          <w:rFonts w:hint="eastAsia" w:ascii="宋体" w:cs="宋体"/>
          <w:sz w:val="28"/>
          <w:szCs w:val="28"/>
        </w:rPr>
        <w:t>/日和1451m</w:t>
      </w:r>
      <w:r>
        <w:rPr>
          <w:rFonts w:hint="eastAsia" w:ascii="宋体" w:cs="宋体"/>
          <w:sz w:val="28"/>
          <w:szCs w:val="28"/>
          <w:vertAlign w:val="superscript"/>
        </w:rPr>
        <w:t>3</w:t>
      </w:r>
      <w:r>
        <w:rPr>
          <w:rFonts w:hint="eastAsia" w:ascii="宋体" w:cs="宋体"/>
          <w:sz w:val="28"/>
          <w:szCs w:val="28"/>
        </w:rPr>
        <w:t>/日。</w:t>
      </w:r>
    </w:p>
    <w:p w14:paraId="6012431D">
      <w:pPr>
        <w:pStyle w:val="15"/>
        <w:kinsoku w:val="0"/>
        <w:overflowPunct w:val="0"/>
        <w:spacing w:line="360" w:lineRule="auto"/>
        <w:jc w:val="center"/>
        <w:rPr>
          <w:rFonts w:asciiTheme="minorEastAsia" w:hAnsiTheme="minorEastAsia" w:eastAsiaTheme="minorEastAsia"/>
          <w:b/>
          <w:bCs/>
          <w:szCs w:val="21"/>
        </w:rPr>
      </w:pPr>
      <w:r>
        <w:rPr>
          <w:rFonts w:hint="eastAsia" w:asciiTheme="minorEastAsia" w:hAnsiTheme="minorEastAsia" w:eastAsiaTheme="minorEastAsia"/>
          <w:b/>
          <w:bCs/>
          <w:szCs w:val="21"/>
        </w:rPr>
        <w:t>表</w:t>
      </w:r>
      <w:r>
        <w:rPr>
          <w:rFonts w:asciiTheme="minorEastAsia" w:hAnsiTheme="minorEastAsia" w:eastAsiaTheme="minorEastAsia"/>
          <w:b/>
          <w:bCs/>
          <w:szCs w:val="21"/>
        </w:rPr>
        <w:t>4-1</w:t>
      </w:r>
      <w:r>
        <w:rPr>
          <w:rFonts w:hint="eastAsia" w:asciiTheme="minorEastAsia" w:hAnsiTheme="minorEastAsia" w:eastAsiaTheme="minorEastAsia"/>
          <w:b/>
          <w:bCs/>
          <w:szCs w:val="21"/>
        </w:rPr>
        <w:t>1   露天开采采坑涌水量预测表</w:t>
      </w:r>
    </w:p>
    <w:tbl>
      <w:tblPr>
        <w:tblStyle w:val="43"/>
        <w:tblW w:w="344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2"/>
        <w:gridCol w:w="1454"/>
        <w:gridCol w:w="1501"/>
        <w:gridCol w:w="1682"/>
      </w:tblGrid>
      <w:tr w14:paraId="09610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3" w:type="dxa"/>
            <w:vAlign w:val="center"/>
          </w:tcPr>
          <w:p w14:paraId="4675CEC3">
            <w:pPr>
              <w:spacing w:line="360" w:lineRule="auto"/>
              <w:jc w:val="center"/>
              <w:rPr>
                <w:rFonts w:cs="宋体" w:asciiTheme="minorEastAsia" w:hAnsiTheme="minorEastAsia" w:eastAsiaTheme="minorEastAsia"/>
                <w:szCs w:val="21"/>
              </w:rPr>
            </w:pPr>
          </w:p>
        </w:tc>
        <w:tc>
          <w:tcPr>
            <w:tcW w:w="4637" w:type="dxa"/>
            <w:gridSpan w:val="3"/>
            <w:vAlign w:val="center"/>
          </w:tcPr>
          <w:p w14:paraId="3C033C63">
            <w:pPr>
              <w:pStyle w:val="90"/>
              <w:adjustRightInd/>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采场涌水量（</w:t>
            </w:r>
            <w:r>
              <w:rPr>
                <w:rFonts w:asciiTheme="minorEastAsia" w:hAnsiTheme="minorEastAsia" w:eastAsiaTheme="minorEastAsia"/>
                <w:sz w:val="21"/>
                <w:szCs w:val="21"/>
              </w:rPr>
              <w:t>m</w:t>
            </w:r>
            <w:r>
              <w:rPr>
                <w:rFonts w:asciiTheme="minorEastAsia" w:hAnsiTheme="minorEastAsia" w:eastAsiaTheme="minorEastAsia"/>
                <w:sz w:val="21"/>
                <w:szCs w:val="21"/>
                <w:vertAlign w:val="superscript"/>
              </w:rPr>
              <w:t>3</w:t>
            </w:r>
            <w:r>
              <w:rPr>
                <w:rFonts w:asciiTheme="minorEastAsia" w:hAnsiTheme="minorEastAsia" w:eastAsiaTheme="minorEastAsia"/>
                <w:sz w:val="21"/>
                <w:szCs w:val="21"/>
              </w:rPr>
              <w:t>/d</w:t>
            </w:r>
            <w:r>
              <w:rPr>
                <w:rFonts w:hint="eastAsia" w:asciiTheme="minorEastAsia" w:hAnsiTheme="minorEastAsia" w:eastAsiaTheme="minorEastAsia"/>
                <w:sz w:val="21"/>
                <w:szCs w:val="21"/>
              </w:rPr>
              <w:t>）</w:t>
            </w:r>
          </w:p>
        </w:tc>
      </w:tr>
      <w:tr w14:paraId="2CEF1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3" w:type="dxa"/>
            <w:vAlign w:val="center"/>
          </w:tcPr>
          <w:p w14:paraId="3D7B5CAD">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预测标高</w:t>
            </w:r>
          </w:p>
        </w:tc>
        <w:tc>
          <w:tcPr>
            <w:tcW w:w="1454" w:type="dxa"/>
            <w:vAlign w:val="center"/>
          </w:tcPr>
          <w:p w14:paraId="272C9AB5">
            <w:pPr>
              <w:pStyle w:val="90"/>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正常</w:t>
            </w:r>
          </w:p>
        </w:tc>
        <w:tc>
          <w:tcPr>
            <w:tcW w:w="1501" w:type="dxa"/>
            <w:vAlign w:val="center"/>
          </w:tcPr>
          <w:p w14:paraId="4D6AFDD5">
            <w:pPr>
              <w:pStyle w:val="90"/>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最大</w:t>
            </w:r>
          </w:p>
        </w:tc>
        <w:tc>
          <w:tcPr>
            <w:tcW w:w="1682" w:type="dxa"/>
            <w:vAlign w:val="center"/>
          </w:tcPr>
          <w:p w14:paraId="3B2538F2">
            <w:pPr>
              <w:pStyle w:val="90"/>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8月份</w:t>
            </w:r>
          </w:p>
        </w:tc>
      </w:tr>
      <w:tr w14:paraId="692FF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3" w:type="dxa"/>
            <w:vAlign w:val="center"/>
          </w:tcPr>
          <w:p w14:paraId="6B2276F4">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170m</w:t>
            </w:r>
          </w:p>
        </w:tc>
        <w:tc>
          <w:tcPr>
            <w:tcW w:w="1454" w:type="dxa"/>
            <w:vAlign w:val="center"/>
          </w:tcPr>
          <w:p w14:paraId="789CDDA9">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413</w:t>
            </w:r>
          </w:p>
        </w:tc>
        <w:tc>
          <w:tcPr>
            <w:tcW w:w="1501" w:type="dxa"/>
            <w:vAlign w:val="center"/>
          </w:tcPr>
          <w:p w14:paraId="66149127">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37351</w:t>
            </w:r>
          </w:p>
        </w:tc>
        <w:tc>
          <w:tcPr>
            <w:tcW w:w="1682" w:type="dxa"/>
            <w:vAlign w:val="center"/>
          </w:tcPr>
          <w:p w14:paraId="4EE65CC8">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1451</w:t>
            </w:r>
          </w:p>
        </w:tc>
      </w:tr>
    </w:tbl>
    <w:p w14:paraId="461BC438">
      <w:pPr>
        <w:spacing w:beforeLines="50"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综上所述，矿山露天采场东南侧出入口、东北侧地势较低，西南侧虽位于山坡地带，但汇水面积较小，可根据地形条件自然排水，露天采场封闭圈为170m标高，可在暴雨时</w:t>
      </w:r>
      <w:r>
        <w:rPr>
          <w:rFonts w:hint="eastAsia" w:asciiTheme="minorEastAsia" w:hAnsiTheme="minorEastAsia" w:eastAsiaTheme="minorEastAsia"/>
          <w:sz w:val="28"/>
          <w:szCs w:val="28"/>
        </w:rPr>
        <w:t>选择</w:t>
      </w:r>
      <w:r>
        <w:rPr>
          <w:rFonts w:cs="宋体" w:asciiTheme="minorEastAsia" w:hAnsiTheme="minorEastAsia" w:eastAsiaTheme="minorEastAsia"/>
          <w:sz w:val="28"/>
          <w:szCs w:val="28"/>
        </w:rPr>
        <w:t>300QJ200</w:t>
      </w:r>
      <w:r>
        <w:rPr>
          <w:rFonts w:hint="eastAsia" w:cs="宋体" w:asciiTheme="minorEastAsia" w:hAnsiTheme="minorEastAsia" w:eastAsiaTheme="minorEastAsia"/>
          <w:sz w:val="28"/>
          <w:szCs w:val="28"/>
        </w:rPr>
        <w:t>-20/1</w:t>
      </w:r>
      <w:r>
        <w:rPr>
          <w:rFonts w:hint="eastAsia" w:asciiTheme="minorEastAsia" w:hAnsiTheme="minorEastAsia" w:eastAsiaTheme="minorEastAsia"/>
          <w:sz w:val="28"/>
          <w:szCs w:val="28"/>
        </w:rPr>
        <w:t>型潜水泵</w:t>
      </w:r>
      <w:r>
        <w:rPr>
          <w:rFonts w:hint="eastAsia" w:cs="宋体" w:asciiTheme="minorEastAsia" w:hAnsiTheme="minorEastAsia" w:eastAsiaTheme="minorEastAsia"/>
          <w:sz w:val="28"/>
          <w:szCs w:val="28"/>
        </w:rPr>
        <w:t>（</w:t>
      </w:r>
      <w:r>
        <w:rPr>
          <w:rFonts w:cs="宋体" w:asciiTheme="minorEastAsia" w:hAnsiTheme="minorEastAsia" w:eastAsiaTheme="minorEastAsia"/>
          <w:sz w:val="28"/>
          <w:szCs w:val="28"/>
        </w:rPr>
        <w:t>扬程</w:t>
      </w:r>
      <w:r>
        <w:rPr>
          <w:rFonts w:hint="eastAsia" w:cs="宋体" w:asciiTheme="minorEastAsia" w:hAnsiTheme="minorEastAsia" w:eastAsiaTheme="minorEastAsia"/>
          <w:sz w:val="28"/>
          <w:szCs w:val="28"/>
        </w:rPr>
        <w:t>20m、流量为</w:t>
      </w:r>
      <w:r>
        <w:rPr>
          <w:rFonts w:cs="宋体" w:asciiTheme="minorEastAsia" w:hAnsiTheme="minorEastAsia" w:eastAsiaTheme="minorEastAsia"/>
          <w:sz w:val="28"/>
          <w:szCs w:val="28"/>
        </w:rPr>
        <w:t>200m</w:t>
      </w:r>
      <w:r>
        <w:rPr>
          <w:rFonts w:cs="宋体" w:asciiTheme="minorEastAsia" w:hAnsiTheme="minorEastAsia" w:eastAsiaTheme="minorEastAsia"/>
          <w:sz w:val="28"/>
          <w:szCs w:val="28"/>
          <w:vertAlign w:val="superscript"/>
        </w:rPr>
        <w:t>3</w:t>
      </w:r>
      <w:r>
        <w:rPr>
          <w:rFonts w:cs="宋体" w:asciiTheme="minorEastAsia" w:hAnsiTheme="minorEastAsia" w:eastAsiaTheme="minorEastAsia"/>
          <w:sz w:val="28"/>
          <w:szCs w:val="28"/>
        </w:rPr>
        <w:t>/h</w:t>
      </w:r>
      <w:r>
        <w:rPr>
          <w:rFonts w:hint="eastAsia" w:cs="宋体" w:asciiTheme="minorEastAsia" w:hAnsiTheme="minorEastAsia" w:eastAsiaTheme="minorEastAsia"/>
          <w:sz w:val="28"/>
          <w:szCs w:val="28"/>
        </w:rPr>
        <w:t>）</w:t>
      </w:r>
      <w:r>
        <w:rPr>
          <w:rFonts w:hint="eastAsia" w:asciiTheme="minorEastAsia" w:hAnsiTheme="minorEastAsia" w:eastAsiaTheme="minorEastAsia"/>
          <w:sz w:val="28"/>
          <w:szCs w:val="28"/>
        </w:rPr>
        <w:t>进行排水。</w:t>
      </w:r>
    </w:p>
    <w:bookmarkEnd w:id="196"/>
    <w:bookmarkEnd w:id="197"/>
    <w:p w14:paraId="5FD02B84">
      <w:pPr>
        <w:pStyle w:val="78"/>
        <w:spacing w:line="360" w:lineRule="auto"/>
        <w:ind w:firstLine="602" w:firstLineChars="200"/>
        <w:rPr>
          <w:rFonts w:ascii="宋体"/>
          <w:szCs w:val="30"/>
        </w:rPr>
      </w:pPr>
      <w:bookmarkStart w:id="214" w:name="_Toc181797720"/>
      <w:bookmarkStart w:id="215" w:name="_Toc11327"/>
      <w:bookmarkStart w:id="216" w:name="_Toc22631"/>
      <w:bookmarkStart w:id="217" w:name="_Toc14308"/>
      <w:r>
        <w:rPr>
          <w:rFonts w:hint="eastAsia" w:ascii="宋体"/>
          <w:szCs w:val="30"/>
        </w:rPr>
        <w:t>（三）拟建生产规模</w:t>
      </w:r>
      <w:bookmarkEnd w:id="214"/>
      <w:bookmarkEnd w:id="215"/>
      <w:bookmarkEnd w:id="216"/>
      <w:bookmarkEnd w:id="217"/>
    </w:p>
    <w:p w14:paraId="6B85B9BB">
      <w:pPr>
        <w:spacing w:line="360" w:lineRule="auto"/>
        <w:ind w:left="581"/>
        <w:rPr>
          <w:rFonts w:ascii="宋体" w:hAnsi="宋体" w:cs="宋体"/>
          <w:sz w:val="28"/>
          <w:szCs w:val="28"/>
        </w:rPr>
      </w:pPr>
      <w:r>
        <w:rPr>
          <w:rFonts w:ascii="宋体" w:hAnsi="宋体" w:cs="宋体"/>
          <w:b/>
          <w:bCs/>
          <w:sz w:val="28"/>
          <w:szCs w:val="28"/>
        </w:rPr>
        <w:t>1、本次设计拟建生产规模</w:t>
      </w:r>
    </w:p>
    <w:p w14:paraId="2C38B368">
      <w:pPr>
        <w:spacing w:line="360" w:lineRule="auto"/>
        <w:ind w:right="2" w:firstLine="567"/>
        <w:rPr>
          <w:rFonts w:ascii="宋体" w:hAnsi="宋体" w:cs="宋体"/>
          <w:sz w:val="28"/>
          <w:szCs w:val="28"/>
        </w:rPr>
      </w:pPr>
      <w:r>
        <w:rPr>
          <w:rFonts w:hint="eastAsia" w:ascii="宋体" w:hAnsi="宋体" w:cs="宋体"/>
          <w:sz w:val="28"/>
          <w:szCs w:val="28"/>
        </w:rPr>
        <w:t>根据开采技术条件，</w:t>
      </w:r>
      <w:r>
        <w:rPr>
          <w:rFonts w:ascii="宋体" w:hAnsi="宋体" w:cs="宋体"/>
          <w:sz w:val="28"/>
          <w:szCs w:val="28"/>
        </w:rPr>
        <w:t>结合矿山实际情况，根据矿山规划，设计确定矿山拟建生产规模为</w:t>
      </w:r>
      <w:r>
        <w:rPr>
          <w:rFonts w:hint="eastAsia" w:ascii="宋体" w:hAnsi="宋体" w:cs="宋体"/>
          <w:sz w:val="28"/>
          <w:szCs w:val="28"/>
        </w:rPr>
        <w:t>43</w:t>
      </w:r>
      <w:r>
        <w:rPr>
          <w:rFonts w:ascii="宋体" w:hAnsi="宋体" w:cs="宋体"/>
          <w:sz w:val="28"/>
          <w:szCs w:val="28"/>
        </w:rPr>
        <w:t>万</w:t>
      </w:r>
      <w:r>
        <w:rPr>
          <w:rFonts w:hint="eastAsia" w:ascii="宋体" w:hAnsi="宋体" w:cs="宋体"/>
          <w:sz w:val="28"/>
          <w:szCs w:val="28"/>
        </w:rPr>
        <w:t>m</w:t>
      </w:r>
      <w:r>
        <w:rPr>
          <w:rFonts w:hint="eastAsia" w:ascii="宋体" w:hAnsi="宋体" w:cs="宋体"/>
          <w:sz w:val="28"/>
          <w:szCs w:val="28"/>
          <w:vertAlign w:val="superscript"/>
        </w:rPr>
        <w:t>3</w:t>
      </w:r>
      <w:r>
        <w:rPr>
          <w:rFonts w:ascii="宋体" w:hAnsi="宋体" w:cs="宋体"/>
          <w:sz w:val="28"/>
          <w:szCs w:val="28"/>
        </w:rPr>
        <w:t>/a。</w:t>
      </w:r>
    </w:p>
    <w:p w14:paraId="2DD48F24">
      <w:pPr>
        <w:spacing w:line="360" w:lineRule="auto"/>
        <w:ind w:left="563"/>
        <w:rPr>
          <w:rFonts w:ascii="宋体" w:hAnsi="宋体" w:cs="宋体"/>
          <w:sz w:val="28"/>
          <w:szCs w:val="28"/>
        </w:rPr>
      </w:pPr>
      <w:r>
        <w:rPr>
          <w:rFonts w:ascii="宋体" w:hAnsi="宋体" w:cs="宋体"/>
          <w:b/>
          <w:bCs/>
          <w:sz w:val="28"/>
          <w:szCs w:val="28"/>
        </w:rPr>
        <w:t>2、生产规模验证</w:t>
      </w:r>
    </w:p>
    <w:p w14:paraId="7259B8A8">
      <w:pPr>
        <w:spacing w:line="360" w:lineRule="auto"/>
        <w:ind w:left="573"/>
        <w:rPr>
          <w:rFonts w:ascii="宋体" w:hAnsi="宋体" w:cs="宋体"/>
          <w:sz w:val="28"/>
          <w:szCs w:val="28"/>
        </w:rPr>
      </w:pPr>
      <w:r>
        <w:rPr>
          <w:rFonts w:ascii="Calibri" w:hAnsi="Calibri" w:eastAsia="Calibri" w:cs="Calibri"/>
          <w:position w:val="2"/>
          <w:sz w:val="28"/>
          <w:szCs w:val="28"/>
        </w:rPr>
        <w:t>1</w:t>
      </w:r>
      <w:r>
        <w:rPr>
          <w:rFonts w:ascii="宋体" w:hAnsi="宋体" w:cs="宋体"/>
          <w:position w:val="2"/>
          <w:sz w:val="28"/>
          <w:szCs w:val="28"/>
        </w:rPr>
        <w:t>）矿山规模</w:t>
      </w:r>
    </w:p>
    <w:p w14:paraId="4B20F0FA">
      <w:pPr>
        <w:spacing w:line="360" w:lineRule="auto"/>
        <w:ind w:left="1" w:firstLine="559"/>
        <w:rPr>
          <w:rFonts w:ascii="宋体" w:hAnsi="宋体" w:cs="宋体"/>
          <w:sz w:val="28"/>
          <w:szCs w:val="28"/>
        </w:rPr>
      </w:pPr>
      <w:r>
        <w:rPr>
          <w:rFonts w:ascii="宋体" w:hAnsi="宋体" w:cs="宋体"/>
          <w:sz w:val="28"/>
          <w:szCs w:val="28"/>
        </w:rPr>
        <w:t>根据矿山规模</w:t>
      </w:r>
      <w:r>
        <w:rPr>
          <w:rFonts w:hint="eastAsia" w:ascii="宋体" w:hAnsi="宋体" w:cs="宋体"/>
          <w:sz w:val="28"/>
          <w:szCs w:val="28"/>
        </w:rPr>
        <w:t>43</w:t>
      </w:r>
      <w:r>
        <w:rPr>
          <w:rFonts w:ascii="宋体" w:hAnsi="宋体" w:cs="宋体"/>
          <w:sz w:val="28"/>
          <w:szCs w:val="28"/>
        </w:rPr>
        <w:t>万</w:t>
      </w:r>
      <w:r>
        <w:rPr>
          <w:rFonts w:hint="eastAsia" w:ascii="宋体" w:hAnsi="宋体" w:cs="宋体"/>
          <w:sz w:val="28"/>
          <w:szCs w:val="28"/>
        </w:rPr>
        <w:t>m</w:t>
      </w:r>
      <w:r>
        <w:rPr>
          <w:rFonts w:hint="eastAsia" w:ascii="宋体" w:hAnsi="宋体" w:cs="宋体"/>
          <w:sz w:val="28"/>
          <w:szCs w:val="28"/>
          <w:vertAlign w:val="superscript"/>
        </w:rPr>
        <w:t>3</w:t>
      </w:r>
      <w:r>
        <w:rPr>
          <w:rFonts w:ascii="宋体" w:hAnsi="宋体" w:cs="宋体"/>
          <w:sz w:val="28"/>
          <w:szCs w:val="28"/>
        </w:rPr>
        <w:t>/a，平均</w:t>
      </w:r>
      <w:r>
        <w:rPr>
          <w:rFonts w:hint="eastAsia" w:ascii="宋体" w:hAnsi="宋体" w:cs="宋体"/>
          <w:sz w:val="28"/>
          <w:szCs w:val="28"/>
        </w:rPr>
        <w:t>剥采比为0.35，平均年剥采岩矿量58.05万m</w:t>
      </w:r>
      <w:r>
        <w:rPr>
          <w:rFonts w:hint="eastAsia" w:ascii="宋体" w:hAnsi="宋体" w:cs="宋体"/>
          <w:sz w:val="28"/>
          <w:szCs w:val="28"/>
          <w:vertAlign w:val="superscript"/>
        </w:rPr>
        <w:t>3</w:t>
      </w:r>
      <w:r>
        <w:rPr>
          <w:rFonts w:hint="eastAsia" w:ascii="宋体" w:hAnsi="宋体" w:cs="宋体"/>
          <w:sz w:val="28"/>
          <w:szCs w:val="28"/>
        </w:rPr>
        <w:t>。</w:t>
      </w:r>
      <w:r>
        <w:rPr>
          <w:rFonts w:ascii="宋体" w:hAnsi="宋体" w:cs="宋体"/>
          <w:sz w:val="28"/>
          <w:szCs w:val="28"/>
        </w:rPr>
        <w:t>考虑采场条件，按采矿工作面布置的铲装设备台数验证产量如下：</w:t>
      </w:r>
    </w:p>
    <w:p w14:paraId="629FD66D">
      <w:pPr>
        <w:pStyle w:val="15"/>
        <w:spacing w:line="360" w:lineRule="auto"/>
        <w:ind w:left="1398"/>
        <w:rPr>
          <w:rFonts w:ascii="宋体" w:hAnsi="宋体" w:cs="宋体"/>
          <w:sz w:val="28"/>
          <w:szCs w:val="28"/>
        </w:rPr>
      </w:pPr>
      <w:r>
        <w:rPr>
          <w:rFonts w:ascii="宋体" w:hAnsi="宋体" w:cs="宋体"/>
          <w:sz w:val="28"/>
          <w:szCs w:val="28"/>
        </w:rPr>
        <w:t>A=N</w:t>
      </w:r>
      <w:r>
        <w:rPr>
          <w:rFonts w:hint="eastAsia"/>
          <w:color w:val="828282"/>
          <w:position w:val="-1"/>
          <w:sz w:val="28"/>
          <w:szCs w:val="28"/>
        </w:rPr>
        <w:t>×</w:t>
      </w:r>
      <w:r>
        <w:rPr>
          <w:rFonts w:ascii="宋体" w:hAnsi="宋体" w:cs="宋体"/>
          <w:sz w:val="28"/>
          <w:szCs w:val="28"/>
        </w:rPr>
        <w:t>n</w:t>
      </w:r>
      <w:r>
        <w:rPr>
          <w:rFonts w:hint="eastAsia"/>
          <w:color w:val="828282"/>
          <w:position w:val="-1"/>
          <w:sz w:val="28"/>
          <w:szCs w:val="28"/>
        </w:rPr>
        <w:t>×</w:t>
      </w:r>
      <w:r>
        <w:rPr>
          <w:rFonts w:ascii="宋体" w:hAnsi="宋体" w:cs="宋体"/>
          <w:sz w:val="28"/>
          <w:szCs w:val="28"/>
        </w:rPr>
        <w:t>Q=</w:t>
      </w:r>
      <w:r>
        <w:rPr>
          <w:rFonts w:hint="eastAsia" w:ascii="宋体" w:hAnsi="宋体" w:cs="宋体"/>
          <w:sz w:val="28"/>
          <w:szCs w:val="28"/>
        </w:rPr>
        <w:t>71.43</w:t>
      </w:r>
      <w:r>
        <w:rPr>
          <w:rFonts w:ascii="宋体" w:hAnsi="宋体" w:cs="宋体"/>
          <w:sz w:val="28"/>
          <w:szCs w:val="28"/>
        </w:rPr>
        <w:t>万</w:t>
      </w:r>
      <w:r>
        <w:rPr>
          <w:rFonts w:hint="eastAsia" w:ascii="宋体" w:hAnsi="宋体" w:cs="宋体"/>
          <w:sz w:val="28"/>
          <w:szCs w:val="28"/>
        </w:rPr>
        <w:t>m</w:t>
      </w:r>
      <w:r>
        <w:rPr>
          <w:rFonts w:hint="eastAsia" w:ascii="宋体" w:hAnsi="宋体" w:cs="宋体"/>
          <w:sz w:val="28"/>
          <w:szCs w:val="28"/>
          <w:vertAlign w:val="superscript"/>
        </w:rPr>
        <w:t>3</w:t>
      </w:r>
      <w:r>
        <w:rPr>
          <w:rFonts w:ascii="宋体" w:hAnsi="宋体" w:cs="宋体"/>
          <w:sz w:val="28"/>
          <w:szCs w:val="28"/>
        </w:rPr>
        <w:t>/a</w:t>
      </w:r>
    </w:p>
    <w:p w14:paraId="075EB9BF">
      <w:pPr>
        <w:spacing w:line="360" w:lineRule="auto"/>
        <w:ind w:left="565"/>
        <w:rPr>
          <w:rFonts w:ascii="宋体" w:hAnsi="宋体" w:cs="宋体"/>
          <w:sz w:val="28"/>
          <w:szCs w:val="28"/>
        </w:rPr>
      </w:pPr>
      <w:r>
        <w:rPr>
          <w:rFonts w:ascii="宋体" w:hAnsi="宋体" w:cs="宋体"/>
          <w:sz w:val="28"/>
          <w:szCs w:val="28"/>
        </w:rPr>
        <w:t>式中：A－露天矿可能达到的年生产能力，万</w:t>
      </w:r>
      <w:r>
        <w:rPr>
          <w:rFonts w:hint="eastAsia" w:ascii="宋体" w:hAnsi="宋体" w:cs="宋体"/>
          <w:sz w:val="28"/>
          <w:szCs w:val="28"/>
        </w:rPr>
        <w:t>m</w:t>
      </w:r>
      <w:r>
        <w:rPr>
          <w:rFonts w:hint="eastAsia" w:ascii="宋体" w:hAnsi="宋体" w:cs="宋体"/>
          <w:sz w:val="28"/>
          <w:szCs w:val="28"/>
          <w:vertAlign w:val="superscript"/>
        </w:rPr>
        <w:t>3</w:t>
      </w:r>
      <w:r>
        <w:rPr>
          <w:rFonts w:ascii="宋体" w:hAnsi="宋体" w:cs="宋体"/>
          <w:sz w:val="28"/>
          <w:szCs w:val="28"/>
        </w:rPr>
        <w:t>/a</w:t>
      </w:r>
    </w:p>
    <w:p w14:paraId="2C353029">
      <w:pPr>
        <w:spacing w:line="360" w:lineRule="auto"/>
        <w:ind w:left="1391"/>
        <w:rPr>
          <w:rFonts w:ascii="宋体" w:hAnsi="宋体" w:cs="宋体"/>
          <w:sz w:val="28"/>
          <w:szCs w:val="28"/>
        </w:rPr>
      </w:pPr>
      <w:r>
        <w:rPr>
          <w:rFonts w:ascii="宋体" w:hAnsi="宋体" w:cs="宋体"/>
          <w:sz w:val="28"/>
          <w:szCs w:val="28"/>
        </w:rPr>
        <w:t xml:space="preserve">N－布置 </w:t>
      </w:r>
      <w:r>
        <w:rPr>
          <w:rFonts w:hint="eastAsia" w:ascii="宋体" w:hAnsi="宋体" w:cs="宋体"/>
          <w:sz w:val="28"/>
          <w:szCs w:val="28"/>
        </w:rPr>
        <w:t>2</w:t>
      </w:r>
      <w:r>
        <w:rPr>
          <w:rFonts w:ascii="宋体" w:hAnsi="宋体" w:cs="宋体"/>
          <w:sz w:val="28"/>
          <w:szCs w:val="28"/>
        </w:rPr>
        <w:t>台斗容 2.1</w:t>
      </w:r>
      <w:r>
        <w:rPr>
          <w:rFonts w:hint="eastAsia" w:ascii="宋体" w:hAnsi="宋体" w:cs="宋体"/>
          <w:sz w:val="28"/>
          <w:szCs w:val="28"/>
        </w:rPr>
        <w:t>2</w:t>
      </w:r>
      <w:r>
        <w:rPr>
          <w:rFonts w:ascii="宋体" w:hAnsi="宋体" w:cs="宋体"/>
          <w:sz w:val="28"/>
          <w:szCs w:val="28"/>
        </w:rPr>
        <w:t>m</w:t>
      </w:r>
      <w:r>
        <w:rPr>
          <w:rFonts w:ascii="宋体" w:hAnsi="宋体" w:cs="宋体"/>
          <w:position w:val="13"/>
          <w:sz w:val="13"/>
          <w:szCs w:val="13"/>
        </w:rPr>
        <w:t xml:space="preserve">3 </w:t>
      </w:r>
      <w:r>
        <w:rPr>
          <w:rFonts w:ascii="宋体" w:hAnsi="宋体" w:cs="宋体"/>
          <w:sz w:val="28"/>
          <w:szCs w:val="28"/>
        </w:rPr>
        <w:t>的挖掘机</w:t>
      </w:r>
    </w:p>
    <w:p w14:paraId="6FF4A8AB">
      <w:pPr>
        <w:spacing w:line="360" w:lineRule="auto"/>
        <w:ind w:left="1394"/>
        <w:rPr>
          <w:rFonts w:ascii="宋体" w:hAnsi="宋体" w:cs="宋体"/>
          <w:sz w:val="28"/>
          <w:szCs w:val="28"/>
        </w:rPr>
      </w:pPr>
      <w:r>
        <w:rPr>
          <w:rFonts w:ascii="宋体" w:hAnsi="宋体" w:cs="宋体"/>
          <w:sz w:val="28"/>
          <w:szCs w:val="28"/>
        </w:rPr>
        <w:t>Q－斗容 2.1</w:t>
      </w:r>
      <w:r>
        <w:rPr>
          <w:rFonts w:hint="eastAsia" w:ascii="宋体" w:hAnsi="宋体" w:cs="宋体"/>
          <w:sz w:val="28"/>
          <w:szCs w:val="28"/>
        </w:rPr>
        <w:t>2</w:t>
      </w:r>
      <w:r>
        <w:rPr>
          <w:rFonts w:ascii="宋体" w:hAnsi="宋体" w:cs="宋体"/>
          <w:sz w:val="28"/>
          <w:szCs w:val="28"/>
        </w:rPr>
        <w:t>m</w:t>
      </w:r>
      <w:r>
        <w:rPr>
          <w:rFonts w:ascii="宋体" w:hAnsi="宋体" w:cs="宋体"/>
          <w:position w:val="13"/>
          <w:sz w:val="13"/>
          <w:szCs w:val="13"/>
        </w:rPr>
        <w:t xml:space="preserve">3 </w:t>
      </w:r>
      <w:r>
        <w:rPr>
          <w:rFonts w:ascii="宋体" w:hAnsi="宋体" w:cs="宋体"/>
          <w:sz w:val="28"/>
          <w:szCs w:val="28"/>
        </w:rPr>
        <w:t xml:space="preserve">挖掘机生产能力 </w:t>
      </w:r>
      <w:r>
        <w:rPr>
          <w:rFonts w:hint="eastAsia" w:ascii="宋体" w:hAnsi="宋体" w:cs="宋体"/>
          <w:sz w:val="28"/>
          <w:szCs w:val="28"/>
        </w:rPr>
        <w:t>23.81</w:t>
      </w:r>
      <w:r>
        <w:rPr>
          <w:rFonts w:ascii="宋体" w:hAnsi="宋体" w:cs="宋体"/>
          <w:sz w:val="28"/>
          <w:szCs w:val="28"/>
        </w:rPr>
        <w:t>万</w:t>
      </w:r>
      <w:r>
        <w:rPr>
          <w:rFonts w:hint="eastAsia" w:ascii="宋体" w:hAnsi="宋体" w:cs="宋体"/>
          <w:sz w:val="28"/>
          <w:szCs w:val="28"/>
        </w:rPr>
        <w:t>m</w:t>
      </w:r>
      <w:r>
        <w:rPr>
          <w:rFonts w:hint="eastAsia" w:ascii="宋体" w:hAnsi="宋体" w:cs="宋体"/>
          <w:sz w:val="28"/>
          <w:szCs w:val="28"/>
          <w:vertAlign w:val="superscript"/>
        </w:rPr>
        <w:t>3</w:t>
      </w:r>
      <w:r>
        <w:rPr>
          <w:rFonts w:ascii="宋体" w:hAnsi="宋体" w:cs="宋体"/>
          <w:sz w:val="28"/>
          <w:szCs w:val="28"/>
        </w:rPr>
        <w:t>/a</w:t>
      </w:r>
    </w:p>
    <w:p w14:paraId="266BE99B">
      <w:pPr>
        <w:spacing w:line="360" w:lineRule="auto"/>
        <w:ind w:left="1315" w:leftChars="626" w:firstLine="140" w:firstLineChars="50"/>
        <w:rPr>
          <w:rFonts w:ascii="宋体" w:hAnsi="宋体" w:cs="宋体"/>
          <w:sz w:val="28"/>
          <w:szCs w:val="28"/>
        </w:rPr>
      </w:pPr>
      <w:r>
        <w:rPr>
          <w:rFonts w:ascii="宋体" w:hAnsi="宋体" w:cs="宋体"/>
          <w:sz w:val="28"/>
          <w:szCs w:val="28"/>
        </w:rPr>
        <w:t>n－工作阶段数，</w:t>
      </w:r>
      <w:r>
        <w:rPr>
          <w:rFonts w:hint="eastAsia" w:ascii="宋体" w:hAnsi="宋体" w:cs="宋体"/>
          <w:sz w:val="28"/>
          <w:szCs w:val="28"/>
        </w:rPr>
        <w:t>1.5</w:t>
      </w:r>
      <w:r>
        <w:rPr>
          <w:rFonts w:ascii="宋体" w:hAnsi="宋体" w:cs="宋体"/>
          <w:sz w:val="28"/>
          <w:szCs w:val="28"/>
        </w:rPr>
        <w:t>个台阶</w:t>
      </w:r>
    </w:p>
    <w:p w14:paraId="5CDD317F">
      <w:pPr>
        <w:spacing w:line="360" w:lineRule="auto"/>
        <w:ind w:firstLine="556"/>
        <w:rPr>
          <w:rFonts w:ascii="宋体" w:hAnsi="宋体" w:cs="宋体"/>
          <w:sz w:val="28"/>
          <w:szCs w:val="28"/>
        </w:rPr>
      </w:pPr>
      <w:r>
        <w:rPr>
          <w:rFonts w:ascii="宋体" w:hAnsi="宋体" w:cs="宋体"/>
          <w:sz w:val="28"/>
          <w:szCs w:val="28"/>
        </w:rPr>
        <w:t>计算结果可知该露天矿山</w:t>
      </w:r>
      <w:r>
        <w:rPr>
          <w:rFonts w:hint="eastAsia" w:ascii="宋体" w:hAnsi="宋体" w:cs="宋体"/>
          <w:sz w:val="28"/>
          <w:szCs w:val="28"/>
        </w:rPr>
        <w:t>平均</w:t>
      </w:r>
      <w:r>
        <w:rPr>
          <w:rFonts w:ascii="宋体" w:hAnsi="宋体" w:cs="宋体"/>
          <w:sz w:val="28"/>
          <w:szCs w:val="28"/>
        </w:rPr>
        <w:t>达到的年生产能力为</w:t>
      </w:r>
      <w:r>
        <w:rPr>
          <w:rFonts w:hint="eastAsia" w:ascii="宋体" w:hAnsi="宋体" w:cs="宋体"/>
          <w:sz w:val="28"/>
          <w:szCs w:val="28"/>
        </w:rPr>
        <w:t>71.43</w:t>
      </w:r>
      <w:r>
        <w:rPr>
          <w:rFonts w:ascii="宋体" w:hAnsi="宋体" w:cs="宋体"/>
          <w:sz w:val="28"/>
          <w:szCs w:val="28"/>
        </w:rPr>
        <w:t xml:space="preserve">万 </w:t>
      </w:r>
      <w:r>
        <w:rPr>
          <w:rFonts w:hint="eastAsia" w:ascii="宋体" w:hAnsi="宋体" w:cs="宋体"/>
          <w:sz w:val="28"/>
          <w:szCs w:val="28"/>
        </w:rPr>
        <w:t>m</w:t>
      </w:r>
      <w:r>
        <w:rPr>
          <w:rFonts w:hint="eastAsia" w:ascii="宋体" w:hAnsi="宋体" w:cs="宋体"/>
          <w:sz w:val="28"/>
          <w:szCs w:val="28"/>
          <w:vertAlign w:val="superscript"/>
        </w:rPr>
        <w:t>3</w:t>
      </w:r>
      <w:r>
        <w:rPr>
          <w:rFonts w:ascii="宋体" w:hAnsi="宋体" w:cs="宋体"/>
          <w:sz w:val="28"/>
          <w:szCs w:val="28"/>
        </w:rPr>
        <w:t>/a，大于年平均剥离</w:t>
      </w:r>
      <w:r>
        <w:rPr>
          <w:rFonts w:hint="eastAsia" w:ascii="宋体" w:hAnsi="宋体" w:cs="宋体"/>
          <w:sz w:val="28"/>
          <w:szCs w:val="28"/>
        </w:rPr>
        <w:t>量58.05</w:t>
      </w:r>
      <w:r>
        <w:rPr>
          <w:rFonts w:ascii="宋体" w:hAnsi="宋体" w:cs="宋体"/>
          <w:sz w:val="28"/>
          <w:szCs w:val="28"/>
        </w:rPr>
        <w:t>万t/a。</w:t>
      </w:r>
    </w:p>
    <w:p w14:paraId="0FD9AE90">
      <w:pPr>
        <w:spacing w:line="360" w:lineRule="auto"/>
        <w:ind w:left="560"/>
        <w:rPr>
          <w:rFonts w:cs="宋体" w:asciiTheme="minorEastAsia" w:hAnsiTheme="minorEastAsia" w:eastAsiaTheme="minorEastAsia"/>
          <w:sz w:val="28"/>
          <w:szCs w:val="28"/>
        </w:rPr>
      </w:pPr>
      <w:r>
        <w:rPr>
          <w:rFonts w:cs="宋体" w:asciiTheme="minorEastAsia" w:hAnsiTheme="minorEastAsia" w:eastAsiaTheme="minorEastAsia"/>
          <w:sz w:val="28"/>
          <w:szCs w:val="28"/>
        </w:rPr>
        <w:t>2）按矿山采矿工程延深速度验证生产能力</w:t>
      </w:r>
    </w:p>
    <w:p w14:paraId="33307D95">
      <w:pPr>
        <w:spacing w:line="360" w:lineRule="auto"/>
        <w:ind w:left="560"/>
        <w:rPr>
          <w:rFonts w:cs="宋体" w:asciiTheme="minorEastAsia" w:hAnsiTheme="minorEastAsia" w:eastAsiaTheme="minorEastAsia"/>
          <w:sz w:val="28"/>
          <w:szCs w:val="28"/>
        </w:rPr>
      </w:pPr>
      <w:r>
        <w:rPr>
          <w:rFonts w:cs="宋体" w:asciiTheme="minorEastAsia" w:hAnsiTheme="minorEastAsia" w:eastAsiaTheme="minorEastAsia"/>
          <w:sz w:val="28"/>
          <w:szCs w:val="28"/>
        </w:rPr>
        <w:t>A =PVη</w:t>
      </w:r>
      <w:r>
        <w:rPr>
          <w:rFonts w:hint="eastAsia" w:cs="宋体" w:asciiTheme="minorEastAsia" w:hAnsiTheme="minorEastAsia" w:eastAsiaTheme="minorEastAsia"/>
          <w:sz w:val="28"/>
          <w:szCs w:val="28"/>
        </w:rPr>
        <w:t>/</w:t>
      </w:r>
      <w:r>
        <w:rPr>
          <w:rFonts w:cs="宋体" w:asciiTheme="minorEastAsia" w:hAnsiTheme="minorEastAsia" w:eastAsiaTheme="minorEastAsia"/>
          <w:sz w:val="28"/>
          <w:szCs w:val="28"/>
        </w:rPr>
        <w:t>h</w:t>
      </w:r>
      <w:r>
        <w:rPr>
          <w:rFonts w:hint="eastAsia" w:cs="宋体" w:asciiTheme="minorEastAsia" w:hAnsiTheme="minorEastAsia" w:eastAsiaTheme="minorEastAsia"/>
          <w:sz w:val="28"/>
          <w:szCs w:val="28"/>
        </w:rPr>
        <w:t>=77.59</w:t>
      </w:r>
      <w:r>
        <w:rPr>
          <w:rFonts w:cs="宋体" w:asciiTheme="minorEastAsia" w:hAnsiTheme="minorEastAsia" w:eastAsiaTheme="minorEastAsia"/>
          <w:sz w:val="28"/>
          <w:szCs w:val="28"/>
        </w:rPr>
        <w:fldChar w:fldCharType="begin"/>
      </w:r>
      <w:r>
        <w:rPr>
          <w:rFonts w:cs="宋体" w:asciiTheme="minorEastAsia" w:hAnsiTheme="minorEastAsia" w:eastAsiaTheme="minorEastAsia"/>
          <w:sz w:val="28"/>
          <w:szCs w:val="28"/>
        </w:rPr>
        <w:instrText xml:space="preserve"> QUOTE </w:instrText>
      </w:r>
      <w:r>
        <w:rPr>
          <w:rFonts w:asciiTheme="minorEastAsia" w:hAnsiTheme="minorEastAsia" w:eastAsiaTheme="minorEastAsia"/>
          <w:position w:val="-20"/>
        </w:rPr>
        <w:pict>
          <v:shape id="_x0000_i1025" o:spt="75" type="#_x0000_t75" style="height:25.2pt;width:75pt;" filled="f" o:preferrelative="t" stroked="f" coordsize="21600,21600" equationxml="&lt;">
            <v:path/>
            <v:fill on="f" focussize="0,0"/>
            <v:stroke on="f" joinstyle="miter"/>
            <v:imagedata r:id="rId18" chromakey="#FFFFFF" o:title=""/>
            <o:lock v:ext="edit" aspectratio="t"/>
            <w10:wrap type="none"/>
            <w10:anchorlock/>
          </v:shape>
        </w:pict>
      </w:r>
      <w:r>
        <w:rPr>
          <w:rFonts w:cs="宋体" w:asciiTheme="minorEastAsia" w:hAnsiTheme="minorEastAsia" w:eastAsiaTheme="minorEastAsia"/>
          <w:sz w:val="28"/>
          <w:szCs w:val="28"/>
        </w:rPr>
        <w:fldChar w:fldCharType="end"/>
      </w:r>
      <w:r>
        <w:rPr>
          <w:rFonts w:hint="eastAsia" w:cs="宋体" w:asciiTheme="minorEastAsia" w:hAnsiTheme="minorEastAsia" w:eastAsiaTheme="minorEastAsia"/>
          <w:sz w:val="28"/>
          <w:szCs w:val="28"/>
        </w:rPr>
        <w:t>万m</w:t>
      </w:r>
      <w:r>
        <w:rPr>
          <w:rFonts w:hint="eastAsia" w:cs="宋体" w:asciiTheme="minorEastAsia" w:hAnsiTheme="minorEastAsia" w:eastAsiaTheme="minorEastAsia"/>
          <w:sz w:val="28"/>
          <w:szCs w:val="28"/>
          <w:vertAlign w:val="superscript"/>
        </w:rPr>
        <w:t>3</w:t>
      </w:r>
      <w:r>
        <w:rPr>
          <w:rFonts w:hint="eastAsia" w:cs="宋体" w:asciiTheme="minorEastAsia" w:hAnsiTheme="minorEastAsia" w:eastAsiaTheme="minorEastAsia"/>
          <w:sz w:val="28"/>
          <w:szCs w:val="28"/>
        </w:rPr>
        <w:t>/a</w:t>
      </w:r>
    </w:p>
    <w:p w14:paraId="62F8EE81">
      <w:pPr>
        <w:spacing w:line="360" w:lineRule="auto"/>
        <w:ind w:left="562"/>
        <w:rPr>
          <w:rFonts w:cs="宋体" w:asciiTheme="minorEastAsia" w:hAnsiTheme="minorEastAsia" w:eastAsiaTheme="minorEastAsia"/>
          <w:sz w:val="28"/>
          <w:szCs w:val="28"/>
        </w:rPr>
      </w:pPr>
      <w:r>
        <w:rPr>
          <w:rFonts w:cs="宋体" w:asciiTheme="minorEastAsia" w:hAnsiTheme="minorEastAsia" w:eastAsiaTheme="minorEastAsia"/>
          <w:sz w:val="28"/>
          <w:szCs w:val="28"/>
        </w:rPr>
        <w:t>式中：A－露天矿可能达到的年生产能力，万</w:t>
      </w:r>
      <w:r>
        <w:rPr>
          <w:rFonts w:hint="eastAsia" w:cs="宋体" w:asciiTheme="minorEastAsia" w:hAnsiTheme="minorEastAsia" w:eastAsiaTheme="minorEastAsia"/>
          <w:sz w:val="28"/>
          <w:szCs w:val="28"/>
        </w:rPr>
        <w:t>m</w:t>
      </w:r>
      <w:r>
        <w:rPr>
          <w:rFonts w:hint="eastAsia" w:cs="宋体" w:asciiTheme="minorEastAsia" w:hAnsiTheme="minorEastAsia" w:eastAsiaTheme="minorEastAsia"/>
          <w:sz w:val="28"/>
          <w:szCs w:val="28"/>
          <w:vertAlign w:val="superscript"/>
        </w:rPr>
        <w:t>3</w:t>
      </w:r>
      <w:r>
        <w:rPr>
          <w:rFonts w:cs="宋体" w:asciiTheme="minorEastAsia" w:hAnsiTheme="minorEastAsia" w:eastAsiaTheme="minorEastAsia"/>
          <w:sz w:val="28"/>
          <w:szCs w:val="28"/>
        </w:rPr>
        <w:t>/a</w:t>
      </w:r>
    </w:p>
    <w:p w14:paraId="09A48A01">
      <w:pPr>
        <w:spacing w:line="360" w:lineRule="auto"/>
        <w:ind w:left="1392"/>
        <w:rPr>
          <w:rFonts w:cs="宋体" w:asciiTheme="minorEastAsia" w:hAnsiTheme="minorEastAsia" w:eastAsiaTheme="minorEastAsia"/>
          <w:sz w:val="28"/>
          <w:szCs w:val="28"/>
        </w:rPr>
      </w:pPr>
      <w:r>
        <w:rPr>
          <w:rFonts w:cs="宋体" w:asciiTheme="minorEastAsia" w:hAnsiTheme="minorEastAsia" w:eastAsiaTheme="minorEastAsia"/>
          <w:sz w:val="28"/>
          <w:szCs w:val="28"/>
        </w:rPr>
        <w:t>P－</w:t>
      </w:r>
      <w:r>
        <w:rPr>
          <w:rFonts w:hint="eastAsia" w:cs="宋体" w:asciiTheme="minorEastAsia" w:hAnsiTheme="minorEastAsia" w:eastAsiaTheme="minorEastAsia"/>
          <w:sz w:val="28"/>
          <w:szCs w:val="28"/>
        </w:rPr>
        <w:t>具有</w:t>
      </w:r>
      <w:r>
        <w:rPr>
          <w:rFonts w:cs="宋体" w:asciiTheme="minorEastAsia" w:hAnsiTheme="minorEastAsia" w:eastAsiaTheme="minorEastAsia"/>
          <w:sz w:val="28"/>
          <w:szCs w:val="28"/>
        </w:rPr>
        <w:t>代表的台阶矿石量，</w:t>
      </w:r>
      <w:r>
        <w:rPr>
          <w:rFonts w:hint="eastAsia" w:cs="宋体" w:asciiTheme="minorEastAsia" w:hAnsiTheme="minorEastAsia" w:eastAsiaTheme="minorEastAsia"/>
          <w:sz w:val="28"/>
          <w:szCs w:val="28"/>
        </w:rPr>
        <w:t>200m～210m 51.73</w:t>
      </w:r>
      <w:r>
        <w:rPr>
          <w:rFonts w:cs="宋体" w:asciiTheme="minorEastAsia" w:hAnsiTheme="minorEastAsia" w:eastAsiaTheme="minorEastAsia"/>
          <w:sz w:val="28"/>
          <w:szCs w:val="28"/>
        </w:rPr>
        <w:t>万</w:t>
      </w:r>
      <w:r>
        <w:rPr>
          <w:rFonts w:hint="eastAsia" w:cs="宋体" w:asciiTheme="minorEastAsia" w:hAnsiTheme="minorEastAsia" w:eastAsiaTheme="minorEastAsia"/>
          <w:sz w:val="28"/>
          <w:szCs w:val="28"/>
        </w:rPr>
        <w:t>m</w:t>
      </w:r>
      <w:r>
        <w:rPr>
          <w:rFonts w:hint="eastAsia" w:cs="宋体" w:asciiTheme="minorEastAsia" w:hAnsiTheme="minorEastAsia" w:eastAsiaTheme="minorEastAsia"/>
          <w:sz w:val="28"/>
          <w:szCs w:val="28"/>
          <w:vertAlign w:val="superscript"/>
        </w:rPr>
        <w:t>3</w:t>
      </w:r>
    </w:p>
    <w:p w14:paraId="096A79CF">
      <w:pPr>
        <w:spacing w:line="360" w:lineRule="auto"/>
        <w:ind w:left="1390"/>
        <w:rPr>
          <w:rFonts w:cs="宋体" w:asciiTheme="minorEastAsia" w:hAnsiTheme="minorEastAsia" w:eastAsiaTheme="minorEastAsia"/>
          <w:sz w:val="28"/>
          <w:szCs w:val="28"/>
        </w:rPr>
      </w:pPr>
      <w:r>
        <w:rPr>
          <w:rFonts w:cs="宋体" w:asciiTheme="minorEastAsia" w:hAnsiTheme="minorEastAsia" w:eastAsiaTheme="minorEastAsia"/>
          <w:sz w:val="28"/>
          <w:szCs w:val="28"/>
        </w:rPr>
        <w:t>V－矿山采矿工程延深速度，</w:t>
      </w:r>
      <w:r>
        <w:rPr>
          <w:rFonts w:hint="eastAsia" w:cs="宋体" w:asciiTheme="minorEastAsia" w:hAnsiTheme="minorEastAsia" w:eastAsiaTheme="minorEastAsia"/>
          <w:sz w:val="28"/>
          <w:szCs w:val="28"/>
        </w:rPr>
        <w:t>15</w:t>
      </w:r>
      <w:r>
        <w:rPr>
          <w:rFonts w:cs="宋体" w:asciiTheme="minorEastAsia" w:hAnsiTheme="minorEastAsia" w:eastAsiaTheme="minorEastAsia"/>
          <w:sz w:val="28"/>
          <w:szCs w:val="28"/>
        </w:rPr>
        <w:t>m/a</w:t>
      </w:r>
    </w:p>
    <w:p w14:paraId="10075BB4">
      <w:pPr>
        <w:spacing w:line="360" w:lineRule="auto"/>
        <w:ind w:left="1393"/>
        <w:rPr>
          <w:rFonts w:cs="宋体" w:asciiTheme="minorEastAsia" w:hAnsiTheme="minorEastAsia" w:eastAsiaTheme="minorEastAsia"/>
          <w:sz w:val="28"/>
          <w:szCs w:val="28"/>
        </w:rPr>
      </w:pPr>
      <w:r>
        <w:rPr>
          <w:rFonts w:cs="宋体" w:asciiTheme="minorEastAsia" w:hAnsiTheme="minorEastAsia" w:eastAsiaTheme="minorEastAsia"/>
          <w:sz w:val="28"/>
          <w:szCs w:val="28"/>
        </w:rPr>
        <w:t>h－阶段高度，10m</w:t>
      </w:r>
    </w:p>
    <w:p w14:paraId="4CAC5EA7">
      <w:pPr>
        <w:pStyle w:val="15"/>
        <w:spacing w:line="360" w:lineRule="auto"/>
        <w:ind w:left="1406"/>
        <w:rPr>
          <w:rFonts w:cs="宋体" w:asciiTheme="minorEastAsia" w:hAnsiTheme="minorEastAsia" w:eastAsiaTheme="minorEastAsia"/>
          <w:sz w:val="28"/>
          <w:szCs w:val="28"/>
        </w:rPr>
      </w:pPr>
      <w:r>
        <w:rPr>
          <w:rFonts w:asciiTheme="minorEastAsia" w:hAnsiTheme="minorEastAsia" w:eastAsiaTheme="minorEastAsia"/>
          <w:iCs/>
          <w:sz w:val="29"/>
          <w:szCs w:val="29"/>
        </w:rPr>
        <w:t>η</w:t>
      </w:r>
      <w:r>
        <w:rPr>
          <w:rFonts w:cs="宋体" w:asciiTheme="minorEastAsia" w:hAnsiTheme="minorEastAsia" w:eastAsiaTheme="minorEastAsia"/>
          <w:sz w:val="28"/>
          <w:szCs w:val="28"/>
        </w:rPr>
        <w:t>-矿石回采率，</w:t>
      </w:r>
      <w:r>
        <w:rPr>
          <w:rFonts w:hint="eastAsia" w:cs="宋体" w:asciiTheme="minorEastAsia" w:hAnsiTheme="minorEastAsia" w:eastAsiaTheme="minorEastAsia"/>
          <w:sz w:val="28"/>
          <w:szCs w:val="28"/>
        </w:rPr>
        <w:t>100</w:t>
      </w:r>
      <w:r>
        <w:rPr>
          <w:rFonts w:cs="宋体" w:asciiTheme="minorEastAsia" w:hAnsiTheme="minorEastAsia" w:eastAsiaTheme="minorEastAsia"/>
          <w:sz w:val="28"/>
          <w:szCs w:val="28"/>
        </w:rPr>
        <w:t>%</w:t>
      </w:r>
    </w:p>
    <w:p w14:paraId="015D832E">
      <w:pPr>
        <w:spacing w:line="360" w:lineRule="auto"/>
        <w:ind w:left="556"/>
        <w:rPr>
          <w:rFonts w:cs="宋体" w:asciiTheme="minorEastAsia" w:hAnsiTheme="minorEastAsia" w:eastAsiaTheme="minorEastAsia"/>
          <w:sz w:val="28"/>
          <w:szCs w:val="28"/>
        </w:rPr>
      </w:pPr>
      <w:r>
        <w:rPr>
          <w:rFonts w:cs="宋体" w:asciiTheme="minorEastAsia" w:hAnsiTheme="minorEastAsia" w:eastAsiaTheme="minorEastAsia"/>
          <w:sz w:val="28"/>
          <w:szCs w:val="28"/>
        </w:rPr>
        <w:t>计算结果可知该露天矿山完全可以达到年生产能力</w:t>
      </w:r>
      <w:r>
        <w:rPr>
          <w:rFonts w:hint="eastAsia" w:cs="宋体" w:asciiTheme="minorEastAsia" w:hAnsiTheme="minorEastAsia" w:eastAsiaTheme="minorEastAsia"/>
          <w:sz w:val="28"/>
          <w:szCs w:val="28"/>
        </w:rPr>
        <w:t>43</w:t>
      </w:r>
      <w:r>
        <w:rPr>
          <w:rFonts w:cs="宋体" w:asciiTheme="minorEastAsia" w:hAnsiTheme="minorEastAsia" w:eastAsiaTheme="minorEastAsia"/>
          <w:sz w:val="28"/>
          <w:szCs w:val="28"/>
        </w:rPr>
        <w:t>万m</w:t>
      </w:r>
      <w:r>
        <w:rPr>
          <w:rFonts w:hint="eastAsia" w:cs="宋体" w:asciiTheme="minorEastAsia" w:hAnsiTheme="minorEastAsia" w:eastAsiaTheme="minorEastAsia"/>
          <w:sz w:val="28"/>
          <w:szCs w:val="28"/>
          <w:vertAlign w:val="superscript"/>
        </w:rPr>
        <w:t>3</w:t>
      </w:r>
      <w:r>
        <w:rPr>
          <w:rFonts w:cs="宋体" w:asciiTheme="minorEastAsia" w:hAnsiTheme="minorEastAsia" w:eastAsiaTheme="minorEastAsia"/>
          <w:sz w:val="28"/>
          <w:szCs w:val="28"/>
        </w:rPr>
        <w:t>/a。</w:t>
      </w:r>
    </w:p>
    <w:p w14:paraId="74BB30CB">
      <w:pPr>
        <w:spacing w:line="360" w:lineRule="auto"/>
        <w:ind w:left="562"/>
        <w:rPr>
          <w:rFonts w:ascii="宋体" w:hAnsi="宋体" w:cs="宋体"/>
          <w:sz w:val="28"/>
          <w:szCs w:val="28"/>
        </w:rPr>
      </w:pPr>
      <w:r>
        <w:rPr>
          <w:rFonts w:ascii="宋体" w:hAnsi="宋体" w:cs="宋体"/>
          <w:b/>
          <w:bCs/>
          <w:sz w:val="28"/>
          <w:szCs w:val="28"/>
        </w:rPr>
        <w:t>3、矿山服务年限</w:t>
      </w:r>
    </w:p>
    <w:p w14:paraId="6E78F5A8">
      <w:pPr>
        <w:spacing w:line="360" w:lineRule="auto"/>
        <w:ind w:left="556"/>
        <w:rPr>
          <w:rFonts w:cs="宋体" w:asciiTheme="minorEastAsia" w:hAnsiTheme="minorEastAsia" w:eastAsiaTheme="minorEastAsia"/>
          <w:sz w:val="28"/>
          <w:szCs w:val="28"/>
        </w:rPr>
      </w:pPr>
      <w:r>
        <w:rPr>
          <w:rFonts w:cs="宋体" w:asciiTheme="minorEastAsia" w:hAnsiTheme="minorEastAsia" w:eastAsiaTheme="minorEastAsia"/>
          <w:sz w:val="28"/>
          <w:szCs w:val="28"/>
        </w:rPr>
        <w:t>矿山服务年限计算如下：</w:t>
      </w:r>
    </w:p>
    <w:p w14:paraId="2055B55D">
      <w:pPr>
        <w:spacing w:line="360" w:lineRule="auto"/>
        <w:ind w:left="556"/>
        <w:rPr>
          <w:rFonts w:cs="宋体" w:asciiTheme="minorEastAsia" w:hAnsiTheme="minorEastAsia" w:eastAsiaTheme="minorEastAsia"/>
          <w:sz w:val="28"/>
          <w:szCs w:val="28"/>
        </w:rPr>
      </w:pPr>
      <w:r>
        <w:rPr>
          <w:rFonts w:hint="eastAsia" w:asciiTheme="minorEastAsia" w:hAnsiTheme="minorEastAsia" w:eastAsiaTheme="minorEastAsia"/>
          <w:color w:val="000000"/>
          <w:sz w:val="28"/>
          <w:szCs w:val="28"/>
        </w:rPr>
        <w:t>T=Q/A</w:t>
      </w:r>
      <w:r>
        <w:rPr>
          <w:rFonts w:cs="宋体" w:asciiTheme="minorEastAsia" w:hAnsiTheme="minorEastAsia" w:eastAsiaTheme="minorEastAsia"/>
          <w:sz w:val="28"/>
          <w:szCs w:val="28"/>
        </w:rPr>
        <w:fldChar w:fldCharType="begin"/>
      </w:r>
      <w:r>
        <w:rPr>
          <w:rFonts w:cs="宋体" w:asciiTheme="minorEastAsia" w:hAnsiTheme="minorEastAsia" w:eastAsiaTheme="minorEastAsia"/>
          <w:sz w:val="28"/>
          <w:szCs w:val="28"/>
        </w:rPr>
        <w:instrText xml:space="preserve"> QUOTE </w:instrText>
      </w:r>
      <w:r>
        <w:rPr>
          <w:rFonts w:asciiTheme="minorEastAsia" w:hAnsiTheme="minorEastAsia" w:eastAsiaTheme="minorEastAsia"/>
          <w:position w:val="-20"/>
        </w:rPr>
        <w:pict>
          <v:shape id="_x0000_i1026" o:spt="75" type="#_x0000_t75" style="height:26.4pt;width:146.4pt;" filled="f" o:preferrelative="t" stroked="f" coordsize="21600,21600" equationxml="&lt;">
            <v:path/>
            <v:fill on="f" focussize="0,0"/>
            <v:stroke on="f" joinstyle="miter"/>
            <v:imagedata r:id="rId19" chromakey="#FFFFFF" o:title=""/>
            <o:lock v:ext="edit" aspectratio="t"/>
            <w10:wrap type="none"/>
            <w10:anchorlock/>
          </v:shape>
        </w:pict>
      </w:r>
      <w:r>
        <w:rPr>
          <w:rFonts w:cs="宋体" w:asciiTheme="minorEastAsia" w:hAnsiTheme="minorEastAsia" w:eastAsiaTheme="minorEastAsia"/>
          <w:sz w:val="28"/>
          <w:szCs w:val="28"/>
        </w:rPr>
        <w:fldChar w:fldCharType="end"/>
      </w:r>
      <w:r>
        <w:rPr>
          <w:rFonts w:hint="eastAsia" w:cs="宋体" w:asciiTheme="minorEastAsia" w:hAnsiTheme="minorEastAsia" w:eastAsiaTheme="minorEastAsia"/>
          <w:sz w:val="28"/>
          <w:szCs w:val="28"/>
        </w:rPr>
        <w:t>=9.9≈10年</w:t>
      </w:r>
    </w:p>
    <w:p w14:paraId="06F9501C">
      <w:pPr>
        <w:spacing w:line="360" w:lineRule="auto"/>
        <w:ind w:left="562"/>
        <w:rPr>
          <w:rFonts w:cs="宋体" w:asciiTheme="minorEastAsia" w:hAnsiTheme="minorEastAsia" w:eastAsiaTheme="minorEastAsia"/>
          <w:sz w:val="28"/>
          <w:szCs w:val="28"/>
        </w:rPr>
      </w:pPr>
      <w:r>
        <w:rPr>
          <w:rFonts w:cs="宋体" w:asciiTheme="minorEastAsia" w:hAnsiTheme="minorEastAsia" w:eastAsiaTheme="minorEastAsia"/>
          <w:sz w:val="28"/>
          <w:szCs w:val="28"/>
        </w:rPr>
        <w:t>式中：T—矿山服务年限，年；</w:t>
      </w:r>
    </w:p>
    <w:p w14:paraId="0CE9AB89">
      <w:pPr>
        <w:spacing w:line="360" w:lineRule="auto"/>
        <w:ind w:left="1459"/>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A</w:t>
      </w:r>
      <w:r>
        <w:rPr>
          <w:rFonts w:cs="宋体" w:asciiTheme="minorEastAsia" w:hAnsiTheme="minorEastAsia" w:eastAsiaTheme="minorEastAsia"/>
          <w:sz w:val="28"/>
          <w:szCs w:val="28"/>
        </w:rPr>
        <w:t>—</w:t>
      </w:r>
      <w:r>
        <w:rPr>
          <w:rFonts w:hint="eastAsia" w:cs="宋体" w:asciiTheme="minorEastAsia" w:hAnsiTheme="minorEastAsia" w:eastAsiaTheme="minorEastAsia"/>
          <w:sz w:val="28"/>
          <w:szCs w:val="28"/>
        </w:rPr>
        <w:t>生产</w:t>
      </w:r>
      <w:r>
        <w:rPr>
          <w:rFonts w:cs="宋体" w:asciiTheme="minorEastAsia" w:hAnsiTheme="minorEastAsia" w:eastAsiaTheme="minorEastAsia"/>
          <w:sz w:val="28"/>
          <w:szCs w:val="28"/>
        </w:rPr>
        <w:t>规模</w:t>
      </w:r>
      <w:r>
        <w:rPr>
          <w:rFonts w:hint="eastAsia" w:cs="宋体" w:asciiTheme="minorEastAsia" w:hAnsiTheme="minorEastAsia" w:eastAsiaTheme="minorEastAsia"/>
          <w:sz w:val="28"/>
          <w:szCs w:val="28"/>
        </w:rPr>
        <w:t xml:space="preserve"> 43</w:t>
      </w:r>
      <w:r>
        <w:rPr>
          <w:rFonts w:cs="宋体" w:asciiTheme="minorEastAsia" w:hAnsiTheme="minorEastAsia" w:eastAsiaTheme="minorEastAsia"/>
          <w:sz w:val="28"/>
          <w:szCs w:val="28"/>
        </w:rPr>
        <w:t>万m</w:t>
      </w:r>
      <w:r>
        <w:rPr>
          <w:rFonts w:hint="eastAsia" w:cs="宋体" w:asciiTheme="minorEastAsia" w:hAnsiTheme="minorEastAsia" w:eastAsiaTheme="minorEastAsia"/>
          <w:sz w:val="28"/>
          <w:szCs w:val="28"/>
          <w:vertAlign w:val="superscript"/>
        </w:rPr>
        <w:t>3</w:t>
      </w:r>
      <w:r>
        <w:rPr>
          <w:rFonts w:cs="宋体" w:asciiTheme="minorEastAsia" w:hAnsiTheme="minorEastAsia" w:eastAsiaTheme="minorEastAsia"/>
          <w:sz w:val="28"/>
          <w:szCs w:val="28"/>
        </w:rPr>
        <w:t>；</w:t>
      </w:r>
    </w:p>
    <w:p w14:paraId="5E37D17E">
      <w:pPr>
        <w:spacing w:line="360" w:lineRule="auto"/>
        <w:ind w:left="1455"/>
        <w:rPr>
          <w:rFonts w:cs="宋体" w:asciiTheme="minorEastAsia" w:hAnsiTheme="minorEastAsia" w:eastAsiaTheme="minorEastAsia"/>
          <w:sz w:val="28"/>
          <w:szCs w:val="28"/>
        </w:rPr>
      </w:pPr>
      <w:r>
        <w:rPr>
          <w:rFonts w:cs="宋体" w:asciiTheme="minorEastAsia" w:hAnsiTheme="minorEastAsia" w:eastAsiaTheme="minorEastAsia"/>
          <w:sz w:val="28"/>
          <w:szCs w:val="28"/>
        </w:rPr>
        <w:t>Q—设计</w:t>
      </w:r>
      <w:r>
        <w:rPr>
          <w:rFonts w:hint="eastAsia" w:cs="宋体" w:asciiTheme="minorEastAsia" w:hAnsiTheme="minorEastAsia" w:eastAsiaTheme="minorEastAsia"/>
          <w:sz w:val="28"/>
          <w:szCs w:val="28"/>
        </w:rPr>
        <w:t>可采资源</w:t>
      </w:r>
      <w:r>
        <w:rPr>
          <w:rFonts w:cs="宋体" w:asciiTheme="minorEastAsia" w:hAnsiTheme="minorEastAsia" w:eastAsiaTheme="minorEastAsia"/>
          <w:sz w:val="28"/>
          <w:szCs w:val="28"/>
        </w:rPr>
        <w:t>量，</w:t>
      </w:r>
      <w:r>
        <w:rPr>
          <w:rFonts w:hint="eastAsia" w:cs="宋体" w:asciiTheme="minorEastAsia" w:hAnsiTheme="minorEastAsia" w:eastAsiaTheme="minorEastAsia"/>
          <w:sz w:val="28"/>
          <w:szCs w:val="28"/>
        </w:rPr>
        <w:t>426.06</w:t>
      </w:r>
      <w:r>
        <w:rPr>
          <w:rFonts w:cs="宋体" w:asciiTheme="minorEastAsia" w:hAnsiTheme="minorEastAsia" w:eastAsiaTheme="minorEastAsia"/>
          <w:sz w:val="28"/>
          <w:szCs w:val="28"/>
        </w:rPr>
        <w:t>万</w:t>
      </w:r>
      <w:r>
        <w:rPr>
          <w:rFonts w:hint="eastAsia" w:cs="宋体" w:asciiTheme="minorEastAsia" w:hAnsiTheme="minorEastAsia" w:eastAsiaTheme="minorEastAsia"/>
          <w:sz w:val="28"/>
          <w:szCs w:val="28"/>
        </w:rPr>
        <w:t>m</w:t>
      </w:r>
      <w:r>
        <w:rPr>
          <w:rFonts w:hint="eastAsia" w:cs="宋体" w:asciiTheme="minorEastAsia" w:hAnsiTheme="minorEastAsia" w:eastAsiaTheme="minorEastAsia"/>
          <w:sz w:val="28"/>
          <w:szCs w:val="28"/>
          <w:vertAlign w:val="superscript"/>
        </w:rPr>
        <w:t>3</w:t>
      </w:r>
      <w:r>
        <w:rPr>
          <w:rFonts w:cs="宋体" w:asciiTheme="minorEastAsia" w:hAnsiTheme="minorEastAsia" w:eastAsiaTheme="minorEastAsia"/>
          <w:sz w:val="28"/>
          <w:szCs w:val="28"/>
        </w:rPr>
        <w:t>；</w:t>
      </w:r>
    </w:p>
    <w:p w14:paraId="565DA591">
      <w:pPr>
        <w:spacing w:line="360" w:lineRule="auto"/>
        <w:ind w:left="851"/>
        <w:rPr>
          <w:rFonts w:cs="宋体" w:asciiTheme="minorEastAsia" w:hAnsiTheme="minorEastAsia" w:eastAsiaTheme="minorEastAsia"/>
          <w:sz w:val="28"/>
          <w:szCs w:val="28"/>
        </w:rPr>
      </w:pPr>
      <w:r>
        <w:rPr>
          <w:rFonts w:cs="宋体" w:asciiTheme="minorEastAsia" w:hAnsiTheme="minorEastAsia" w:eastAsiaTheme="minorEastAsia"/>
          <w:spacing w:val="-6"/>
          <w:sz w:val="28"/>
          <w:szCs w:val="28"/>
        </w:rPr>
        <w:t>经计算，矿山生产年限为</w:t>
      </w:r>
      <w:r>
        <w:rPr>
          <w:rFonts w:hint="eastAsia" w:cs="宋体" w:asciiTheme="minorEastAsia" w:hAnsiTheme="minorEastAsia" w:eastAsiaTheme="minorEastAsia"/>
          <w:spacing w:val="-6"/>
          <w:sz w:val="28"/>
          <w:szCs w:val="28"/>
        </w:rPr>
        <w:t>10</w:t>
      </w:r>
      <w:r>
        <w:rPr>
          <w:rFonts w:cs="宋体" w:asciiTheme="minorEastAsia" w:hAnsiTheme="minorEastAsia" w:eastAsiaTheme="minorEastAsia"/>
          <w:spacing w:val="-6"/>
          <w:sz w:val="28"/>
          <w:szCs w:val="28"/>
        </w:rPr>
        <w:t>年，自采矿许可证颁发之日起算。</w:t>
      </w:r>
    </w:p>
    <w:p w14:paraId="573C6A0E">
      <w:pPr>
        <w:spacing w:line="360" w:lineRule="auto"/>
        <w:ind w:left="861"/>
        <w:rPr>
          <w:rFonts w:ascii="宋体" w:hAnsi="宋体" w:cs="宋体"/>
          <w:sz w:val="28"/>
          <w:szCs w:val="28"/>
        </w:rPr>
      </w:pPr>
      <w:r>
        <w:rPr>
          <w:rFonts w:ascii="宋体" w:hAnsi="宋体" w:cs="宋体"/>
          <w:b/>
          <w:bCs/>
          <w:spacing w:val="-5"/>
          <w:sz w:val="28"/>
          <w:szCs w:val="28"/>
        </w:rPr>
        <w:t>3.工作制度</w:t>
      </w:r>
    </w:p>
    <w:p w14:paraId="59BB3B6C">
      <w:pPr>
        <w:spacing w:line="360" w:lineRule="auto"/>
        <w:ind w:firstLine="564" w:firstLineChars="200"/>
        <w:rPr>
          <w:rFonts w:ascii="宋体" w:hAnsi="宋体" w:cs="宋体"/>
          <w:sz w:val="28"/>
          <w:szCs w:val="28"/>
        </w:rPr>
      </w:pPr>
      <w:r>
        <w:rPr>
          <w:rFonts w:ascii="宋体" w:hAnsi="宋体" w:cs="宋体"/>
          <w:spacing w:val="1"/>
          <w:sz w:val="28"/>
          <w:szCs w:val="28"/>
        </w:rPr>
        <w:t>该矿山年产量为</w:t>
      </w:r>
      <w:r>
        <w:rPr>
          <w:rFonts w:hint="eastAsia" w:ascii="宋体" w:hAnsi="宋体" w:cs="宋体"/>
          <w:spacing w:val="1"/>
          <w:sz w:val="28"/>
          <w:szCs w:val="28"/>
        </w:rPr>
        <w:t>43</w:t>
      </w:r>
      <w:r>
        <w:rPr>
          <w:rFonts w:ascii="宋体" w:hAnsi="宋体" w:cs="宋体"/>
          <w:spacing w:val="1"/>
          <w:sz w:val="28"/>
          <w:szCs w:val="28"/>
        </w:rPr>
        <w:t>万</w:t>
      </w:r>
      <w:r>
        <w:rPr>
          <w:rFonts w:hint="eastAsia" w:ascii="宋体" w:hAnsi="宋体" w:cs="宋体"/>
          <w:sz w:val="28"/>
          <w:szCs w:val="28"/>
        </w:rPr>
        <w:t>m</w:t>
      </w:r>
      <w:r>
        <w:rPr>
          <w:rFonts w:hint="eastAsia" w:ascii="宋体" w:hAnsi="宋体" w:cs="宋体"/>
          <w:sz w:val="28"/>
          <w:szCs w:val="28"/>
          <w:vertAlign w:val="superscript"/>
        </w:rPr>
        <w:t>3</w:t>
      </w:r>
      <w:r>
        <w:rPr>
          <w:rFonts w:ascii="宋体" w:hAnsi="宋体" w:cs="宋体"/>
          <w:spacing w:val="1"/>
          <w:sz w:val="28"/>
          <w:szCs w:val="28"/>
        </w:rPr>
        <w:t>/a，建设规模属中型矿山；矿山工作制度采用间</w:t>
      </w:r>
      <w:r>
        <w:rPr>
          <w:rFonts w:ascii="宋体" w:hAnsi="宋体" w:cs="宋体"/>
          <w:spacing w:val="-5"/>
          <w:sz w:val="28"/>
          <w:szCs w:val="28"/>
        </w:rPr>
        <w:t>断工作制，年工作300天，每天</w:t>
      </w:r>
      <w:r>
        <w:rPr>
          <w:rFonts w:hint="eastAsia" w:ascii="宋体" w:hAnsi="宋体" w:cs="宋体"/>
          <w:spacing w:val="-5"/>
          <w:sz w:val="28"/>
          <w:szCs w:val="28"/>
        </w:rPr>
        <w:t>1</w:t>
      </w:r>
      <w:r>
        <w:rPr>
          <w:rFonts w:ascii="宋体" w:hAnsi="宋体" w:cs="宋体"/>
          <w:spacing w:val="-5"/>
          <w:sz w:val="28"/>
          <w:szCs w:val="28"/>
        </w:rPr>
        <w:t>班，每班</w:t>
      </w:r>
      <w:r>
        <w:rPr>
          <w:rFonts w:hint="eastAsia" w:ascii="宋体" w:hAnsi="宋体" w:cs="宋体"/>
          <w:spacing w:val="-5"/>
          <w:sz w:val="28"/>
          <w:szCs w:val="28"/>
        </w:rPr>
        <w:t>8</w:t>
      </w:r>
      <w:r>
        <w:rPr>
          <w:rFonts w:ascii="宋体" w:hAnsi="宋体" w:cs="宋体"/>
          <w:spacing w:val="-5"/>
          <w:sz w:val="28"/>
          <w:szCs w:val="28"/>
        </w:rPr>
        <w:t>小时。</w:t>
      </w:r>
    </w:p>
    <w:p w14:paraId="0CB6AE99">
      <w:pPr>
        <w:pStyle w:val="78"/>
        <w:spacing w:line="360" w:lineRule="auto"/>
        <w:ind w:firstLine="602" w:firstLineChars="200"/>
        <w:rPr>
          <w:rFonts w:ascii="宋体"/>
          <w:szCs w:val="30"/>
        </w:rPr>
      </w:pPr>
      <w:bookmarkStart w:id="218" w:name="bookmark22"/>
      <w:bookmarkEnd w:id="218"/>
      <w:bookmarkStart w:id="219" w:name="_Toc15619"/>
      <w:r>
        <w:rPr>
          <w:rFonts w:hint="eastAsia" w:ascii="宋体"/>
          <w:szCs w:val="30"/>
        </w:rPr>
        <w:t>（四）资源综合利用</w:t>
      </w:r>
      <w:bookmarkEnd w:id="219"/>
    </w:p>
    <w:p w14:paraId="380E7D8C">
      <w:pPr>
        <w:spacing w:line="360" w:lineRule="auto"/>
        <w:ind w:firstLine="534" w:firstLineChars="200"/>
        <w:rPr>
          <w:rFonts w:ascii="宋体" w:hAnsi="宋体" w:cs="宋体"/>
          <w:sz w:val="28"/>
          <w:szCs w:val="28"/>
        </w:rPr>
      </w:pPr>
      <w:r>
        <w:rPr>
          <w:rFonts w:ascii="宋体" w:hAnsi="宋体" w:cs="宋体"/>
          <w:b/>
          <w:bCs/>
          <w:spacing w:val="-7"/>
          <w:sz w:val="28"/>
          <w:szCs w:val="28"/>
        </w:rPr>
        <w:t>1、选矿回收率</w:t>
      </w:r>
    </w:p>
    <w:p w14:paraId="5BDC7B71">
      <w:pPr>
        <w:spacing w:line="360" w:lineRule="auto"/>
        <w:ind w:firstLine="544" w:firstLineChars="200"/>
        <w:rPr>
          <w:rFonts w:ascii="宋体" w:hAnsi="宋体" w:cs="宋体"/>
          <w:sz w:val="28"/>
          <w:szCs w:val="28"/>
        </w:rPr>
      </w:pPr>
      <w:r>
        <w:rPr>
          <w:rFonts w:hint="eastAsia" w:ascii="宋体" w:hAnsi="宋体" w:cs="宋体"/>
          <w:spacing w:val="-4"/>
          <w:sz w:val="28"/>
          <w:szCs w:val="28"/>
        </w:rPr>
        <w:t>建筑用</w:t>
      </w:r>
      <w:r>
        <w:rPr>
          <w:rFonts w:ascii="宋体" w:hAnsi="宋体" w:cs="宋体"/>
          <w:spacing w:val="-4"/>
          <w:sz w:val="28"/>
          <w:szCs w:val="28"/>
        </w:rPr>
        <w:t>石料一般不进行选矿作业，</w:t>
      </w:r>
      <w:r>
        <w:rPr>
          <w:rFonts w:ascii="宋体" w:hAnsi="宋体" w:cs="宋体"/>
          <w:spacing w:val="-5"/>
          <w:sz w:val="28"/>
          <w:szCs w:val="28"/>
        </w:rPr>
        <w:t>选矿回收率指标</w:t>
      </w:r>
      <w:r>
        <w:rPr>
          <w:rFonts w:hint="eastAsia" w:ascii="宋体" w:hAnsi="宋体" w:cs="宋体"/>
          <w:spacing w:val="-5"/>
          <w:sz w:val="28"/>
          <w:szCs w:val="28"/>
        </w:rPr>
        <w:t>100%</w:t>
      </w:r>
      <w:r>
        <w:rPr>
          <w:rFonts w:ascii="宋体" w:hAnsi="宋体" w:cs="宋体"/>
          <w:spacing w:val="-5"/>
          <w:sz w:val="28"/>
          <w:szCs w:val="28"/>
        </w:rPr>
        <w:t>。</w:t>
      </w:r>
    </w:p>
    <w:p w14:paraId="75D8A3F3">
      <w:pPr>
        <w:spacing w:line="360" w:lineRule="auto"/>
        <w:ind w:firstLine="546" w:firstLineChars="200"/>
        <w:rPr>
          <w:rFonts w:ascii="宋体" w:hAnsi="宋体" w:cs="宋体"/>
          <w:sz w:val="28"/>
          <w:szCs w:val="28"/>
        </w:rPr>
      </w:pPr>
      <w:r>
        <w:rPr>
          <w:rFonts w:ascii="宋体" w:hAnsi="宋体" w:cs="宋体"/>
          <w:b/>
          <w:bCs/>
          <w:spacing w:val="-4"/>
          <w:sz w:val="28"/>
          <w:szCs w:val="28"/>
        </w:rPr>
        <w:t>2、综合利用率</w:t>
      </w:r>
    </w:p>
    <w:p w14:paraId="024C9657">
      <w:pPr>
        <w:spacing w:line="360" w:lineRule="auto"/>
        <w:ind w:firstLine="544" w:firstLineChars="200"/>
        <w:rPr>
          <w:rFonts w:ascii="宋体" w:hAnsi="宋体"/>
          <w:sz w:val="28"/>
        </w:rPr>
      </w:pPr>
      <w:r>
        <w:rPr>
          <w:rFonts w:ascii="宋体" w:hAnsi="宋体" w:cs="宋体"/>
          <w:spacing w:val="-4"/>
          <w:sz w:val="28"/>
          <w:szCs w:val="28"/>
        </w:rPr>
        <w:t>本矿开采矿种为</w:t>
      </w:r>
      <w:r>
        <w:rPr>
          <w:rFonts w:hint="eastAsia" w:ascii="宋体" w:hAnsi="宋体" w:cs="宋体"/>
          <w:spacing w:val="-4"/>
          <w:sz w:val="28"/>
          <w:szCs w:val="28"/>
        </w:rPr>
        <w:t>建筑用</w:t>
      </w:r>
      <w:r>
        <w:rPr>
          <w:rFonts w:ascii="宋体" w:hAnsi="宋体" w:cs="宋体"/>
          <w:spacing w:val="-4"/>
          <w:sz w:val="28"/>
          <w:szCs w:val="28"/>
        </w:rPr>
        <w:t>白云岩、石英砂岩，</w:t>
      </w:r>
      <w:r>
        <w:rPr>
          <w:rFonts w:hint="eastAsia" w:ascii="宋体" w:hAnsi="宋体" w:cs="宋体"/>
          <w:spacing w:val="-4"/>
          <w:sz w:val="28"/>
          <w:szCs w:val="28"/>
        </w:rPr>
        <w:t>无其他伴生矿产资源存在，不涉及共伴生矿产的综合利用。</w:t>
      </w:r>
      <w:r>
        <w:rPr>
          <w:rFonts w:hint="eastAsia" w:ascii="宋体" w:hAnsi="宋体"/>
          <w:sz w:val="28"/>
        </w:rPr>
        <w:t>运至工业场地</w:t>
      </w:r>
      <w:r>
        <w:rPr>
          <w:rFonts w:ascii="宋体" w:hAnsi="宋体"/>
          <w:sz w:val="28"/>
        </w:rPr>
        <w:t>的块石和碎石可</w:t>
      </w:r>
      <w:r>
        <w:rPr>
          <w:rFonts w:hint="eastAsia" w:ascii="宋体" w:hAnsi="宋体"/>
          <w:sz w:val="28"/>
        </w:rPr>
        <w:t>根据建筑用砂石的不同规格要求，通过破碎、筛分出不同粒度级配的产品。初步设计的产品型号有碎石1-3、碎石1-2、碎石0-5及石粉等，以满足不同建筑工程的需求。</w:t>
      </w:r>
    </w:p>
    <w:p w14:paraId="6063177E">
      <w:pPr>
        <w:spacing w:line="360" w:lineRule="auto"/>
        <w:ind w:firstLine="542" w:firstLineChars="200"/>
        <w:rPr>
          <w:rFonts w:ascii="宋体" w:hAnsi="宋体" w:cs="宋体"/>
          <w:sz w:val="28"/>
          <w:szCs w:val="28"/>
        </w:rPr>
      </w:pPr>
      <w:r>
        <w:rPr>
          <w:rFonts w:ascii="宋体" w:hAnsi="宋体" w:cs="宋体"/>
          <w:b/>
          <w:bCs/>
          <w:spacing w:val="-5"/>
          <w:sz w:val="28"/>
          <w:szCs w:val="28"/>
        </w:rPr>
        <w:t>3、资源保护</w:t>
      </w:r>
    </w:p>
    <w:p w14:paraId="45F5F0AF">
      <w:pPr>
        <w:spacing w:line="360" w:lineRule="auto"/>
        <w:ind w:firstLine="560" w:firstLineChars="200"/>
        <w:rPr>
          <w:rFonts w:ascii="宋体" w:hAnsi="宋体" w:cs="宋体"/>
          <w:spacing w:val="1"/>
          <w:sz w:val="28"/>
          <w:szCs w:val="28"/>
        </w:rPr>
      </w:pPr>
      <w:r>
        <w:rPr>
          <w:rFonts w:hint="eastAsia" w:ascii="宋体" w:cs="宋体"/>
          <w:kern w:val="0"/>
          <w:sz w:val="28"/>
          <w:szCs w:val="28"/>
        </w:rPr>
        <w:t>受矿区范围限制，</w:t>
      </w:r>
      <w:r>
        <w:rPr>
          <w:rFonts w:ascii="宋体" w:hAnsi="宋体" w:cs="宋体"/>
          <w:spacing w:val="-3"/>
          <w:sz w:val="28"/>
          <w:szCs w:val="28"/>
        </w:rPr>
        <w:t>本方案暂时未设计利用的资源主要为露天台阶压占矿量，</w:t>
      </w:r>
      <w:r>
        <w:rPr>
          <w:rFonts w:hint="eastAsia" w:ascii="宋体" w:cs="宋体"/>
          <w:kern w:val="0"/>
          <w:sz w:val="28"/>
          <w:szCs w:val="28"/>
        </w:rPr>
        <w:t>为保证生产安全，</w:t>
      </w:r>
      <w:r>
        <w:rPr>
          <w:rFonts w:hint="eastAsia" w:ascii="宋体" w:hAnsi="宋体" w:cs="宋体"/>
          <w:spacing w:val="1"/>
          <w:sz w:val="28"/>
          <w:szCs w:val="28"/>
        </w:rPr>
        <w:t>矿山企业必须严格按照设计预留终了边坡高度和角度，不得擅自改变、破坏开采</w:t>
      </w:r>
      <w:r>
        <w:rPr>
          <w:rFonts w:ascii="宋体" w:hAnsi="宋体" w:cs="宋体"/>
          <w:spacing w:val="-3"/>
          <w:sz w:val="28"/>
          <w:szCs w:val="28"/>
        </w:rPr>
        <w:t>。</w:t>
      </w:r>
    </w:p>
    <w:p w14:paraId="74C0E2CA">
      <w:pPr>
        <w:pStyle w:val="3"/>
        <w:spacing w:line="360" w:lineRule="auto"/>
        <w:jc w:val="center"/>
        <w:rPr>
          <w:b/>
          <w:bCs/>
          <w:sz w:val="32"/>
          <w:szCs w:val="32"/>
        </w:rPr>
      </w:pPr>
      <w:bookmarkStart w:id="220" w:name="_Toc22606"/>
      <w:bookmarkStart w:id="221" w:name="_Toc26894"/>
      <w:bookmarkStart w:id="222" w:name="_Toc167307753"/>
      <w:bookmarkStart w:id="223" w:name="_Toc181797722"/>
      <w:bookmarkStart w:id="224" w:name="_Toc23530"/>
      <w:r>
        <w:rPr>
          <w:rFonts w:hint="eastAsia"/>
          <w:b/>
          <w:bCs/>
          <w:sz w:val="32"/>
          <w:szCs w:val="32"/>
        </w:rPr>
        <w:t>五、结论</w:t>
      </w:r>
      <w:bookmarkEnd w:id="220"/>
      <w:bookmarkEnd w:id="221"/>
      <w:bookmarkEnd w:id="222"/>
      <w:bookmarkEnd w:id="223"/>
      <w:bookmarkEnd w:id="224"/>
    </w:p>
    <w:p w14:paraId="016108BC">
      <w:pPr>
        <w:pStyle w:val="85"/>
      </w:pPr>
      <w:bookmarkStart w:id="225" w:name="_Toc20751"/>
      <w:bookmarkStart w:id="226" w:name="_Toc181797723"/>
      <w:bookmarkStart w:id="227" w:name="_Toc167307754"/>
      <w:bookmarkStart w:id="228" w:name="_Toc26327"/>
      <w:bookmarkStart w:id="229" w:name="_Toc12295"/>
      <w:bookmarkStart w:id="230" w:name="_Toc154564226"/>
      <w:r>
        <w:rPr>
          <w:rFonts w:hint="eastAsia"/>
        </w:rPr>
        <w:t>（一）资源储量与估算设计利用资源量</w:t>
      </w:r>
      <w:bookmarkEnd w:id="225"/>
      <w:bookmarkEnd w:id="226"/>
      <w:bookmarkEnd w:id="227"/>
      <w:bookmarkEnd w:id="228"/>
      <w:bookmarkEnd w:id="229"/>
    </w:p>
    <w:p w14:paraId="7EBF3338">
      <w:pPr>
        <w:spacing w:line="360" w:lineRule="auto"/>
        <w:ind w:firstLine="532" w:firstLineChars="200"/>
        <w:rPr>
          <w:rFonts w:ascii="宋体" w:hAnsi="宋体" w:cs="宋体"/>
          <w:spacing w:val="-7"/>
          <w:sz w:val="28"/>
          <w:szCs w:val="28"/>
        </w:rPr>
      </w:pPr>
      <w:r>
        <w:rPr>
          <w:rFonts w:hint="eastAsia" w:ascii="宋体" w:hAnsi="宋体" w:cs="宋体"/>
          <w:spacing w:val="-7"/>
          <w:sz w:val="28"/>
          <w:szCs w:val="28"/>
        </w:rPr>
        <w:t>1、保有资源储量</w:t>
      </w:r>
    </w:p>
    <w:p w14:paraId="1FFA4522">
      <w:pPr>
        <w:spacing w:line="360" w:lineRule="auto"/>
        <w:ind w:firstLine="532" w:firstLineChars="200"/>
        <w:rPr>
          <w:rFonts w:ascii="宋体" w:hAnsi="宋体" w:cs="宋体"/>
          <w:spacing w:val="-7"/>
          <w:sz w:val="28"/>
          <w:szCs w:val="28"/>
        </w:rPr>
      </w:pPr>
      <w:r>
        <w:rPr>
          <w:rFonts w:ascii="宋体" w:hAnsi="宋体" w:cs="宋体"/>
          <w:spacing w:val="-7"/>
          <w:sz w:val="28"/>
          <w:szCs w:val="28"/>
        </w:rPr>
        <w:t>根据</w:t>
      </w:r>
      <w:r>
        <w:rPr>
          <w:rFonts w:hint="eastAsia" w:ascii="宋体" w:hAnsi="宋体" w:cs="宋体"/>
          <w:spacing w:val="-7"/>
          <w:sz w:val="28"/>
          <w:szCs w:val="28"/>
        </w:rPr>
        <w:t>2025年3月</w:t>
      </w:r>
      <w:r>
        <w:rPr>
          <w:rFonts w:ascii="宋体" w:hAnsi="宋体" w:cs="宋体"/>
          <w:sz w:val="28"/>
          <w:szCs w:val="28"/>
        </w:rPr>
        <w:t>辽宁省第九地质大队有限责任公</w:t>
      </w:r>
      <w:r>
        <w:rPr>
          <w:rFonts w:ascii="宋体" w:hAnsi="宋体" w:cs="宋体"/>
          <w:spacing w:val="1"/>
          <w:sz w:val="28"/>
          <w:szCs w:val="28"/>
        </w:rPr>
        <w:t>提交《</w:t>
      </w:r>
      <w:r>
        <w:rPr>
          <w:rFonts w:hint="eastAsia" w:ascii="宋体" w:hAnsi="宋体" w:cs="宋体"/>
          <w:spacing w:val="1"/>
          <w:sz w:val="28"/>
          <w:szCs w:val="28"/>
        </w:rPr>
        <w:t>辽宁省铁岭县李千户镇金家沟村建筑用白云岩矿详查</w:t>
      </w:r>
      <w:r>
        <w:rPr>
          <w:rFonts w:ascii="宋体" w:hAnsi="宋体" w:cs="宋体"/>
          <w:spacing w:val="1"/>
          <w:sz w:val="28"/>
          <w:szCs w:val="28"/>
        </w:rPr>
        <w:t>报告》及评审备案文件，</w:t>
      </w:r>
      <w:r>
        <w:rPr>
          <w:rFonts w:hint="eastAsia" w:ascii="宋体" w:hAnsi="宋体" w:cs="宋体"/>
          <w:sz w:val="28"/>
          <w:szCs w:val="28"/>
        </w:rPr>
        <w:t>勘查程度达到详查，截止到2025年2月28日，求得勘查区内（+170m以上）建筑用石料总计推断+控制（TD+KZ）资源量总计******万立方米，其中控制（KZ）资源量为******万立方米，推断（TD）资源量为******万立方米。储量规模为小型。</w:t>
      </w:r>
    </w:p>
    <w:p w14:paraId="048E1D15">
      <w:pPr>
        <w:spacing w:line="360" w:lineRule="auto"/>
        <w:ind w:firstLine="560" w:firstLineChars="200"/>
        <w:rPr>
          <w:rFonts w:ascii="宋体" w:hAnsi="宋体" w:cs="宋体"/>
          <w:sz w:val="28"/>
          <w:szCs w:val="28"/>
        </w:rPr>
      </w:pPr>
      <w:bookmarkStart w:id="231" w:name="_Toc15189"/>
      <w:bookmarkStart w:id="232" w:name="_Toc31665"/>
      <w:r>
        <w:rPr>
          <w:rFonts w:hint="eastAsia" w:ascii="宋体" w:hAnsi="宋体" w:cs="宋体"/>
          <w:sz w:val="28"/>
          <w:szCs w:val="28"/>
        </w:rPr>
        <w:t>2、设计利用资源储量</w:t>
      </w:r>
      <w:bookmarkEnd w:id="231"/>
      <w:bookmarkEnd w:id="232"/>
    </w:p>
    <w:p w14:paraId="6D43B721">
      <w:pPr>
        <w:spacing w:line="360" w:lineRule="auto"/>
        <w:ind w:firstLine="560" w:firstLineChars="200"/>
        <w:rPr>
          <w:rFonts w:ascii="宋体" w:hAnsi="宋体" w:cs="宋体"/>
          <w:sz w:val="28"/>
          <w:szCs w:val="28"/>
        </w:rPr>
      </w:pPr>
      <w:bookmarkStart w:id="233" w:name="_Toc181797724"/>
      <w:bookmarkStart w:id="234" w:name="_Toc167307755"/>
      <w:r>
        <w:rPr>
          <w:rFonts w:hint="eastAsia" w:ascii="宋体" w:hAnsi="宋体" w:cs="宋体"/>
          <w:sz w:val="28"/>
          <w:szCs w:val="28"/>
        </w:rPr>
        <w:t>通过露天采场境界及采场参数圈定，露天开采西南山坡海拔较高，沿西北至矿区西部拐点压覆矿量较多，损失资源量约88.88万m</w:t>
      </w:r>
      <w:r>
        <w:rPr>
          <w:rFonts w:hint="eastAsia" w:ascii="宋体" w:hAnsi="宋体" w:cs="宋体"/>
          <w:sz w:val="28"/>
          <w:szCs w:val="28"/>
          <w:vertAlign w:val="superscript"/>
        </w:rPr>
        <w:t>3</w:t>
      </w:r>
      <w:r>
        <w:rPr>
          <w:rFonts w:hint="eastAsia" w:ascii="宋体" w:hAnsi="宋体" w:cs="宋体"/>
          <w:sz w:val="28"/>
          <w:szCs w:val="28"/>
        </w:rPr>
        <w:t>，设计利用资源量约426.06万m</w:t>
      </w:r>
      <w:r>
        <w:rPr>
          <w:rFonts w:hint="eastAsia" w:ascii="宋体" w:hAnsi="宋体" w:cs="宋体"/>
          <w:sz w:val="28"/>
          <w:szCs w:val="28"/>
          <w:vertAlign w:val="superscript"/>
        </w:rPr>
        <w:t>3</w:t>
      </w:r>
      <w:r>
        <w:rPr>
          <w:rFonts w:hint="eastAsia" w:ascii="宋体" w:hAnsi="宋体" w:cs="宋体"/>
          <w:sz w:val="28"/>
          <w:szCs w:val="28"/>
        </w:rPr>
        <w:t>。</w:t>
      </w:r>
    </w:p>
    <w:p w14:paraId="600995CC">
      <w:pPr>
        <w:pStyle w:val="85"/>
      </w:pPr>
      <w:bookmarkStart w:id="235" w:name="_Toc32309"/>
      <w:bookmarkStart w:id="236" w:name="_Toc8073"/>
      <w:bookmarkStart w:id="237" w:name="_Toc27591"/>
      <w:r>
        <w:rPr>
          <w:rFonts w:hint="eastAsia"/>
        </w:rPr>
        <w:t>（二）申请采矿权矿区范围</w:t>
      </w:r>
      <w:bookmarkEnd w:id="230"/>
      <w:bookmarkEnd w:id="233"/>
      <w:bookmarkEnd w:id="234"/>
      <w:bookmarkEnd w:id="235"/>
      <w:bookmarkEnd w:id="236"/>
      <w:bookmarkEnd w:id="237"/>
    </w:p>
    <w:p w14:paraId="164445E9">
      <w:pPr>
        <w:spacing w:line="360" w:lineRule="auto"/>
        <w:ind w:firstLine="560" w:firstLineChars="200"/>
        <w:rPr>
          <w:rFonts w:ascii="宋体" w:hAnsi="宋体"/>
          <w:sz w:val="28"/>
          <w:szCs w:val="28"/>
        </w:rPr>
      </w:pPr>
      <w:bookmarkStart w:id="238" w:name="_Toc154564227"/>
      <w:bookmarkStart w:id="239" w:name="_Toc167307756"/>
      <w:r>
        <w:rPr>
          <w:rFonts w:hint="eastAsia" w:ascii="宋体" w:hAnsi="宋体" w:cs="宋体"/>
          <w:sz w:val="28"/>
          <w:szCs w:val="28"/>
        </w:rPr>
        <w:t>根据《辽宁省铁岭县李千户镇金家沟村建筑用白云岩矿详查</w:t>
      </w:r>
      <w:r>
        <w:rPr>
          <w:rFonts w:ascii="宋体" w:hAnsi="宋体" w:cs="宋体"/>
          <w:sz w:val="28"/>
          <w:szCs w:val="28"/>
        </w:rPr>
        <w:t>报告》及评审备案文件</w:t>
      </w:r>
      <w:r>
        <w:rPr>
          <w:rFonts w:hint="eastAsia" w:ascii="宋体" w:hAnsi="宋体" w:cs="宋体"/>
          <w:sz w:val="28"/>
          <w:szCs w:val="28"/>
        </w:rPr>
        <w:t>，结合矿体分布特点，设计采用露天开采系统进行开采</w:t>
      </w:r>
      <w:r>
        <w:rPr>
          <w:rFonts w:ascii="宋体" w:hAnsi="宋体" w:cs="宋体"/>
          <w:sz w:val="28"/>
          <w:szCs w:val="28"/>
        </w:rPr>
        <w:t>。</w:t>
      </w:r>
      <w:r>
        <w:rPr>
          <w:rFonts w:hint="eastAsia" w:ascii="宋体" w:hAnsi="宋体" w:cs="宋体"/>
          <w:sz w:val="28"/>
          <w:szCs w:val="28"/>
        </w:rPr>
        <w:t>拟申请矿区范围内地形最高标高为262m，申请开采深度上限标高为262m，申请开采深度下限标高为170m。整体开采深度由+262至+170m。申请矿区面积为0.2km</w:t>
      </w:r>
      <w:r>
        <w:rPr>
          <w:rFonts w:hint="eastAsia" w:ascii="宋体" w:hAnsi="宋体" w:cs="宋体"/>
          <w:sz w:val="28"/>
          <w:szCs w:val="28"/>
          <w:vertAlign w:val="superscript"/>
        </w:rPr>
        <w:t>2</w:t>
      </w:r>
      <w:r>
        <w:rPr>
          <w:rFonts w:hint="eastAsia" w:ascii="宋体" w:hAnsi="宋体" w:cs="宋体"/>
          <w:sz w:val="28"/>
          <w:szCs w:val="28"/>
        </w:rPr>
        <w:t>，</w:t>
      </w:r>
      <w:r>
        <w:rPr>
          <w:rFonts w:hint="eastAsia" w:ascii="宋体" w:hAnsi="宋体"/>
          <w:sz w:val="28"/>
          <w:szCs w:val="28"/>
        </w:rPr>
        <w:t>矿区范围拐点坐标见表5-1。</w:t>
      </w:r>
    </w:p>
    <w:p w14:paraId="30142C08">
      <w:pPr>
        <w:spacing w:line="276" w:lineRule="auto"/>
        <w:jc w:val="center"/>
        <w:rPr>
          <w:rFonts w:ascii="宋体" w:hAnsi="宋体"/>
          <w:b/>
          <w:szCs w:val="21"/>
        </w:rPr>
      </w:pPr>
      <w:r>
        <w:rPr>
          <w:rFonts w:hint="eastAsia" w:ascii="宋体" w:hAnsi="宋体"/>
          <w:b/>
          <w:szCs w:val="21"/>
        </w:rPr>
        <w:t>表5-1  申请矿区范围拐点坐标一览表</w:t>
      </w:r>
    </w:p>
    <w:tbl>
      <w:tblPr>
        <w:tblStyle w:val="42"/>
        <w:tblW w:w="4662"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8"/>
        <w:gridCol w:w="2527"/>
        <w:gridCol w:w="3046"/>
        <w:gridCol w:w="1755"/>
      </w:tblGrid>
      <w:tr w14:paraId="33D09A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vMerge w:val="restart"/>
            <w:tcBorders>
              <w:top w:val="single" w:color="000000" w:sz="6" w:space="0"/>
              <w:left w:val="single" w:color="000000" w:sz="6" w:space="0"/>
              <w:bottom w:val="single" w:color="000000" w:sz="6" w:space="0"/>
              <w:right w:val="single" w:color="000000" w:sz="6" w:space="0"/>
            </w:tcBorders>
            <w:vAlign w:val="center"/>
          </w:tcPr>
          <w:p w14:paraId="7E7227C1">
            <w:pPr>
              <w:pStyle w:val="119"/>
              <w:spacing w:line="0" w:lineRule="atLeast"/>
              <w:ind w:left="-4"/>
              <w:jc w:val="center"/>
              <w:rPr>
                <w:rFonts w:asciiTheme="minorEastAsia" w:hAnsiTheme="minorEastAsia" w:eastAsiaTheme="minorEastAsia"/>
                <w:sz w:val="21"/>
                <w:szCs w:val="21"/>
              </w:rPr>
            </w:pPr>
            <w:r>
              <w:rPr>
                <w:rFonts w:hint="eastAsia" w:asciiTheme="minorEastAsia" w:hAnsiTheme="minorEastAsia" w:eastAsiaTheme="minorEastAsia"/>
                <w:spacing w:val="-6"/>
                <w:sz w:val="21"/>
                <w:szCs w:val="21"/>
              </w:rPr>
              <w:t>拐点</w:t>
            </w:r>
          </w:p>
          <w:p w14:paraId="2BAB983F">
            <w:pPr>
              <w:pStyle w:val="119"/>
              <w:spacing w:line="0" w:lineRule="atLeast"/>
              <w:ind w:left="-4"/>
              <w:jc w:val="center"/>
              <w:rPr>
                <w:rFonts w:asciiTheme="minorEastAsia" w:hAnsiTheme="minorEastAsia" w:eastAsiaTheme="minorEastAsia"/>
                <w:sz w:val="21"/>
                <w:szCs w:val="21"/>
              </w:rPr>
            </w:pPr>
            <w:r>
              <w:rPr>
                <w:rFonts w:hint="eastAsia" w:asciiTheme="minorEastAsia" w:hAnsiTheme="minorEastAsia" w:eastAsiaTheme="minorEastAsia"/>
                <w:spacing w:val="-6"/>
                <w:sz w:val="21"/>
                <w:szCs w:val="21"/>
              </w:rPr>
              <w:t>编号</w:t>
            </w:r>
          </w:p>
        </w:tc>
        <w:tc>
          <w:tcPr>
            <w:tcW w:w="5573" w:type="dxa"/>
            <w:gridSpan w:val="2"/>
            <w:tcBorders>
              <w:top w:val="single" w:color="000000" w:sz="6" w:space="0"/>
              <w:left w:val="single" w:color="000000" w:sz="6" w:space="0"/>
              <w:bottom w:val="single" w:color="000000" w:sz="6" w:space="0"/>
              <w:right w:val="single" w:color="000000" w:sz="6" w:space="0"/>
            </w:tcBorders>
            <w:vAlign w:val="center"/>
          </w:tcPr>
          <w:p w14:paraId="69033F30">
            <w:pPr>
              <w:pStyle w:val="119"/>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pacing w:val="-5"/>
                <w:sz w:val="21"/>
                <w:szCs w:val="21"/>
              </w:rPr>
              <w:t>2000国家大地坐标系</w:t>
            </w:r>
          </w:p>
        </w:tc>
        <w:tc>
          <w:tcPr>
            <w:tcW w:w="1755" w:type="dxa"/>
            <w:vMerge w:val="restart"/>
            <w:tcBorders>
              <w:top w:val="single" w:color="000000" w:sz="6" w:space="0"/>
              <w:left w:val="single" w:color="000000" w:sz="6" w:space="0"/>
              <w:right w:val="single" w:color="000000" w:sz="6" w:space="0"/>
            </w:tcBorders>
            <w:vAlign w:val="center"/>
          </w:tcPr>
          <w:p w14:paraId="4FC42E39">
            <w:pPr>
              <w:pStyle w:val="119"/>
              <w:spacing w:line="0" w:lineRule="atLeast"/>
              <w:jc w:val="center"/>
              <w:rPr>
                <w:rFonts w:asciiTheme="minorEastAsia" w:hAnsiTheme="minorEastAsia" w:eastAsiaTheme="minorEastAsia"/>
                <w:spacing w:val="-5"/>
                <w:sz w:val="21"/>
                <w:szCs w:val="21"/>
                <w:lang w:eastAsia="zh-CN"/>
              </w:rPr>
            </w:pPr>
            <w:r>
              <w:rPr>
                <w:rFonts w:hint="eastAsia" w:asciiTheme="minorEastAsia" w:hAnsiTheme="minorEastAsia" w:eastAsiaTheme="minorEastAsia"/>
                <w:spacing w:val="-5"/>
                <w:sz w:val="21"/>
                <w:szCs w:val="21"/>
              </w:rPr>
              <w:t>备注</w:t>
            </w:r>
          </w:p>
        </w:tc>
      </w:tr>
      <w:tr w14:paraId="2B6C0C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vMerge w:val="continue"/>
            <w:tcBorders>
              <w:top w:val="single" w:color="000000" w:sz="6" w:space="0"/>
              <w:left w:val="single" w:color="000000" w:sz="6" w:space="0"/>
              <w:bottom w:val="single" w:color="000000" w:sz="6" w:space="0"/>
              <w:right w:val="single" w:color="000000" w:sz="6" w:space="0"/>
            </w:tcBorders>
            <w:vAlign w:val="center"/>
          </w:tcPr>
          <w:p w14:paraId="6497111B">
            <w:pPr>
              <w:spacing w:line="0" w:lineRule="atLeast"/>
              <w:jc w:val="center"/>
              <w:rPr>
                <w:rFonts w:cs="宋体" w:asciiTheme="minorEastAsia" w:hAnsiTheme="minorEastAsia" w:eastAsiaTheme="minorEastAsia"/>
                <w:szCs w:val="21"/>
              </w:rPr>
            </w:pPr>
          </w:p>
        </w:tc>
        <w:tc>
          <w:tcPr>
            <w:tcW w:w="2527" w:type="dxa"/>
            <w:tcBorders>
              <w:top w:val="single" w:color="000000" w:sz="6" w:space="0"/>
              <w:left w:val="single" w:color="000000" w:sz="6" w:space="0"/>
              <w:bottom w:val="single" w:color="000000" w:sz="6" w:space="0"/>
              <w:right w:val="single" w:color="000000" w:sz="6" w:space="0"/>
            </w:tcBorders>
            <w:vAlign w:val="center"/>
          </w:tcPr>
          <w:p w14:paraId="33C43249">
            <w:pPr>
              <w:pStyle w:val="119"/>
              <w:spacing w:line="276" w:lineRule="auto"/>
              <w:ind w:left="76" w:leftChars="3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X</w:t>
            </w:r>
          </w:p>
        </w:tc>
        <w:tc>
          <w:tcPr>
            <w:tcW w:w="3046" w:type="dxa"/>
            <w:tcBorders>
              <w:top w:val="single" w:color="000000" w:sz="6" w:space="0"/>
              <w:left w:val="single" w:color="000000" w:sz="6" w:space="0"/>
              <w:bottom w:val="single" w:color="000000" w:sz="6" w:space="0"/>
              <w:right w:val="single" w:color="000000" w:sz="6" w:space="0"/>
            </w:tcBorders>
            <w:vAlign w:val="center"/>
          </w:tcPr>
          <w:p w14:paraId="2C4FA262">
            <w:pPr>
              <w:pStyle w:val="119"/>
              <w:spacing w:line="276" w:lineRule="auto"/>
              <w:ind w:left="76" w:leftChars="3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Y</w:t>
            </w:r>
          </w:p>
        </w:tc>
        <w:tc>
          <w:tcPr>
            <w:tcW w:w="1755" w:type="dxa"/>
            <w:vMerge w:val="continue"/>
            <w:tcBorders>
              <w:left w:val="single" w:color="000000" w:sz="6" w:space="0"/>
              <w:bottom w:val="single" w:color="000000" w:sz="6" w:space="0"/>
              <w:right w:val="single" w:color="000000" w:sz="6" w:space="0"/>
            </w:tcBorders>
            <w:vAlign w:val="center"/>
          </w:tcPr>
          <w:p w14:paraId="15DE7978">
            <w:pPr>
              <w:pStyle w:val="119"/>
              <w:spacing w:line="0" w:lineRule="atLeast"/>
              <w:ind w:left="76" w:leftChars="36"/>
              <w:jc w:val="center"/>
              <w:rPr>
                <w:rFonts w:asciiTheme="minorEastAsia" w:hAnsiTheme="minorEastAsia" w:eastAsiaTheme="minorEastAsia"/>
                <w:sz w:val="21"/>
                <w:szCs w:val="21"/>
              </w:rPr>
            </w:pPr>
          </w:p>
        </w:tc>
      </w:tr>
      <w:tr w14:paraId="1464CA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69E2BC44">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w:t>
            </w:r>
          </w:p>
        </w:tc>
        <w:tc>
          <w:tcPr>
            <w:tcW w:w="2527" w:type="dxa"/>
            <w:tcBorders>
              <w:top w:val="single" w:color="000000" w:sz="6" w:space="0"/>
              <w:left w:val="single" w:color="000000" w:sz="6" w:space="0"/>
              <w:bottom w:val="single" w:color="000000" w:sz="6" w:space="0"/>
              <w:right w:val="single" w:color="000000" w:sz="6" w:space="0"/>
            </w:tcBorders>
            <w:vAlign w:val="center"/>
          </w:tcPr>
          <w:p w14:paraId="23B863BE">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1013B473">
            <w:pPr>
              <w:jc w:val="center"/>
              <w:rPr>
                <w:rFonts w:cs="宋体" w:asciiTheme="minorEastAsia" w:hAnsiTheme="minorEastAsia" w:eastAsiaTheme="minorEastAsia"/>
                <w:color w:val="000000"/>
                <w:szCs w:val="21"/>
              </w:rPr>
            </w:pPr>
          </w:p>
        </w:tc>
        <w:tc>
          <w:tcPr>
            <w:tcW w:w="1755" w:type="dxa"/>
            <w:vMerge w:val="restart"/>
            <w:tcBorders>
              <w:top w:val="single" w:color="000000" w:sz="6" w:space="0"/>
              <w:left w:val="single" w:color="000000" w:sz="6" w:space="0"/>
              <w:right w:val="single" w:color="000000" w:sz="6" w:space="0"/>
            </w:tcBorders>
            <w:vAlign w:val="center"/>
          </w:tcPr>
          <w:p w14:paraId="3F6AD015">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矿区面积0.2km</w:t>
            </w:r>
            <w:r>
              <w:rPr>
                <w:rFonts w:hint="eastAsia" w:cs="仿宋" w:asciiTheme="minorEastAsia" w:hAnsiTheme="minorEastAsia" w:eastAsiaTheme="minorEastAsia"/>
                <w:color w:val="000000"/>
                <w:kern w:val="0"/>
                <w:szCs w:val="21"/>
                <w:vertAlign w:val="superscript"/>
              </w:rPr>
              <w:t>2</w:t>
            </w:r>
          </w:p>
          <w:p w14:paraId="628C8E71">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开采标高</w:t>
            </w:r>
          </w:p>
          <w:p w14:paraId="7837A21E">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262m-170m</w:t>
            </w:r>
          </w:p>
        </w:tc>
      </w:tr>
      <w:tr w14:paraId="4FA664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26382DB6">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2</w:t>
            </w:r>
          </w:p>
        </w:tc>
        <w:tc>
          <w:tcPr>
            <w:tcW w:w="2527" w:type="dxa"/>
            <w:tcBorders>
              <w:top w:val="single" w:color="000000" w:sz="6" w:space="0"/>
              <w:left w:val="single" w:color="000000" w:sz="6" w:space="0"/>
              <w:bottom w:val="single" w:color="000000" w:sz="6" w:space="0"/>
              <w:right w:val="single" w:color="000000" w:sz="6" w:space="0"/>
            </w:tcBorders>
            <w:vAlign w:val="center"/>
          </w:tcPr>
          <w:p w14:paraId="4CC8B1E3">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32B2318E">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18DA87B3">
            <w:pPr>
              <w:widowControl/>
              <w:spacing w:line="0" w:lineRule="atLeast"/>
              <w:jc w:val="center"/>
              <w:textAlignment w:val="bottom"/>
              <w:rPr>
                <w:rFonts w:cs="仿宋" w:asciiTheme="minorEastAsia" w:hAnsiTheme="minorEastAsia" w:eastAsiaTheme="minorEastAsia"/>
                <w:color w:val="000000"/>
                <w:kern w:val="0"/>
                <w:szCs w:val="21"/>
              </w:rPr>
            </w:pPr>
          </w:p>
        </w:tc>
      </w:tr>
      <w:tr w14:paraId="2EF0E3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3EED3E23">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3</w:t>
            </w:r>
          </w:p>
        </w:tc>
        <w:tc>
          <w:tcPr>
            <w:tcW w:w="2527" w:type="dxa"/>
            <w:tcBorders>
              <w:top w:val="single" w:color="000000" w:sz="6" w:space="0"/>
              <w:left w:val="single" w:color="000000" w:sz="6" w:space="0"/>
              <w:bottom w:val="single" w:color="000000" w:sz="6" w:space="0"/>
              <w:right w:val="single" w:color="000000" w:sz="6" w:space="0"/>
            </w:tcBorders>
            <w:vAlign w:val="center"/>
          </w:tcPr>
          <w:p w14:paraId="2B9C5C06">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6343D405">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5DF50170">
            <w:pPr>
              <w:widowControl/>
              <w:spacing w:line="0" w:lineRule="atLeast"/>
              <w:jc w:val="center"/>
              <w:textAlignment w:val="bottom"/>
              <w:rPr>
                <w:rFonts w:cs="仿宋" w:asciiTheme="minorEastAsia" w:hAnsiTheme="minorEastAsia" w:eastAsiaTheme="minorEastAsia"/>
                <w:color w:val="000000"/>
                <w:kern w:val="0"/>
                <w:szCs w:val="21"/>
              </w:rPr>
            </w:pPr>
          </w:p>
        </w:tc>
      </w:tr>
      <w:tr w14:paraId="428754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4B68CBDF">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4</w:t>
            </w:r>
          </w:p>
        </w:tc>
        <w:tc>
          <w:tcPr>
            <w:tcW w:w="2527" w:type="dxa"/>
            <w:tcBorders>
              <w:top w:val="single" w:color="000000" w:sz="6" w:space="0"/>
              <w:left w:val="single" w:color="000000" w:sz="6" w:space="0"/>
              <w:bottom w:val="single" w:color="000000" w:sz="6" w:space="0"/>
              <w:right w:val="single" w:color="000000" w:sz="6" w:space="0"/>
            </w:tcBorders>
            <w:vAlign w:val="center"/>
          </w:tcPr>
          <w:p w14:paraId="362CB523">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70A4CAA5">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5DF3CE1A">
            <w:pPr>
              <w:widowControl/>
              <w:spacing w:line="0" w:lineRule="atLeast"/>
              <w:jc w:val="center"/>
              <w:textAlignment w:val="bottom"/>
              <w:rPr>
                <w:rFonts w:cs="仿宋" w:asciiTheme="minorEastAsia" w:hAnsiTheme="minorEastAsia" w:eastAsiaTheme="minorEastAsia"/>
                <w:color w:val="000000"/>
                <w:kern w:val="0"/>
                <w:szCs w:val="21"/>
              </w:rPr>
            </w:pPr>
          </w:p>
        </w:tc>
      </w:tr>
      <w:tr w14:paraId="2367A9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179F2C2C">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5</w:t>
            </w:r>
          </w:p>
        </w:tc>
        <w:tc>
          <w:tcPr>
            <w:tcW w:w="2527" w:type="dxa"/>
            <w:tcBorders>
              <w:top w:val="single" w:color="000000" w:sz="6" w:space="0"/>
              <w:left w:val="single" w:color="000000" w:sz="6" w:space="0"/>
              <w:bottom w:val="single" w:color="000000" w:sz="6" w:space="0"/>
              <w:right w:val="single" w:color="000000" w:sz="6" w:space="0"/>
            </w:tcBorders>
            <w:vAlign w:val="center"/>
          </w:tcPr>
          <w:p w14:paraId="2621E62A">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1FE968F0">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1AE7A061">
            <w:pPr>
              <w:widowControl/>
              <w:spacing w:line="0" w:lineRule="atLeast"/>
              <w:jc w:val="center"/>
              <w:textAlignment w:val="bottom"/>
              <w:rPr>
                <w:rFonts w:cs="仿宋" w:asciiTheme="minorEastAsia" w:hAnsiTheme="minorEastAsia" w:eastAsiaTheme="minorEastAsia"/>
                <w:color w:val="000000"/>
                <w:kern w:val="0"/>
                <w:szCs w:val="21"/>
              </w:rPr>
            </w:pPr>
          </w:p>
        </w:tc>
      </w:tr>
      <w:tr w14:paraId="6DA610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5BFC2127">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6</w:t>
            </w:r>
          </w:p>
        </w:tc>
        <w:tc>
          <w:tcPr>
            <w:tcW w:w="2527" w:type="dxa"/>
            <w:tcBorders>
              <w:top w:val="single" w:color="000000" w:sz="6" w:space="0"/>
              <w:left w:val="single" w:color="000000" w:sz="6" w:space="0"/>
              <w:bottom w:val="single" w:color="000000" w:sz="6" w:space="0"/>
              <w:right w:val="single" w:color="000000" w:sz="6" w:space="0"/>
            </w:tcBorders>
            <w:vAlign w:val="center"/>
          </w:tcPr>
          <w:p w14:paraId="18728D14">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3CF0691E">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16FF3A1E">
            <w:pPr>
              <w:widowControl/>
              <w:spacing w:line="0" w:lineRule="atLeast"/>
              <w:jc w:val="center"/>
              <w:textAlignment w:val="bottom"/>
              <w:rPr>
                <w:rFonts w:cs="仿宋" w:asciiTheme="minorEastAsia" w:hAnsiTheme="minorEastAsia" w:eastAsiaTheme="minorEastAsia"/>
                <w:color w:val="000000"/>
                <w:kern w:val="0"/>
                <w:szCs w:val="21"/>
              </w:rPr>
            </w:pPr>
          </w:p>
        </w:tc>
      </w:tr>
      <w:tr w14:paraId="092CB9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105DE1FF">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7</w:t>
            </w:r>
          </w:p>
        </w:tc>
        <w:tc>
          <w:tcPr>
            <w:tcW w:w="2527" w:type="dxa"/>
            <w:tcBorders>
              <w:top w:val="single" w:color="000000" w:sz="6" w:space="0"/>
              <w:left w:val="single" w:color="000000" w:sz="6" w:space="0"/>
              <w:bottom w:val="single" w:color="000000" w:sz="6" w:space="0"/>
              <w:right w:val="single" w:color="000000" w:sz="6" w:space="0"/>
            </w:tcBorders>
            <w:vAlign w:val="center"/>
          </w:tcPr>
          <w:p w14:paraId="1D0AEC02">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6300A620">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172E54A0">
            <w:pPr>
              <w:widowControl/>
              <w:spacing w:line="0" w:lineRule="atLeast"/>
              <w:jc w:val="center"/>
              <w:textAlignment w:val="bottom"/>
              <w:rPr>
                <w:rFonts w:cs="仿宋" w:asciiTheme="minorEastAsia" w:hAnsiTheme="minorEastAsia" w:eastAsiaTheme="minorEastAsia"/>
                <w:color w:val="000000"/>
                <w:kern w:val="0"/>
                <w:szCs w:val="21"/>
              </w:rPr>
            </w:pPr>
          </w:p>
        </w:tc>
      </w:tr>
      <w:tr w14:paraId="67B69F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382E4613">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8</w:t>
            </w:r>
          </w:p>
        </w:tc>
        <w:tc>
          <w:tcPr>
            <w:tcW w:w="2527" w:type="dxa"/>
            <w:tcBorders>
              <w:top w:val="single" w:color="000000" w:sz="6" w:space="0"/>
              <w:left w:val="single" w:color="000000" w:sz="6" w:space="0"/>
              <w:bottom w:val="single" w:color="000000" w:sz="6" w:space="0"/>
              <w:right w:val="single" w:color="000000" w:sz="6" w:space="0"/>
            </w:tcBorders>
            <w:vAlign w:val="center"/>
          </w:tcPr>
          <w:p w14:paraId="20EFC5A6">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2C139774">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78843DB5">
            <w:pPr>
              <w:widowControl/>
              <w:spacing w:line="0" w:lineRule="atLeast"/>
              <w:jc w:val="center"/>
              <w:textAlignment w:val="bottom"/>
              <w:rPr>
                <w:rFonts w:cs="仿宋" w:asciiTheme="minorEastAsia" w:hAnsiTheme="minorEastAsia" w:eastAsiaTheme="minorEastAsia"/>
                <w:color w:val="000000"/>
                <w:kern w:val="0"/>
                <w:szCs w:val="21"/>
              </w:rPr>
            </w:pPr>
          </w:p>
        </w:tc>
      </w:tr>
      <w:tr w14:paraId="2F9E76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6DD9588D">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9</w:t>
            </w:r>
          </w:p>
        </w:tc>
        <w:tc>
          <w:tcPr>
            <w:tcW w:w="2527" w:type="dxa"/>
            <w:tcBorders>
              <w:top w:val="single" w:color="000000" w:sz="6" w:space="0"/>
              <w:left w:val="single" w:color="000000" w:sz="6" w:space="0"/>
              <w:bottom w:val="single" w:color="000000" w:sz="6" w:space="0"/>
              <w:right w:val="single" w:color="000000" w:sz="6" w:space="0"/>
            </w:tcBorders>
            <w:vAlign w:val="center"/>
          </w:tcPr>
          <w:p w14:paraId="3317C256">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69CD1A22">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576A34F1">
            <w:pPr>
              <w:widowControl/>
              <w:spacing w:line="0" w:lineRule="atLeast"/>
              <w:jc w:val="center"/>
              <w:textAlignment w:val="bottom"/>
              <w:rPr>
                <w:rFonts w:cs="仿宋" w:asciiTheme="minorEastAsia" w:hAnsiTheme="minorEastAsia" w:eastAsiaTheme="minorEastAsia"/>
                <w:color w:val="000000"/>
                <w:kern w:val="0"/>
                <w:szCs w:val="21"/>
              </w:rPr>
            </w:pPr>
          </w:p>
        </w:tc>
      </w:tr>
      <w:tr w14:paraId="530F40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27792E65">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10</w:t>
            </w:r>
          </w:p>
        </w:tc>
        <w:tc>
          <w:tcPr>
            <w:tcW w:w="2527" w:type="dxa"/>
            <w:tcBorders>
              <w:top w:val="single" w:color="000000" w:sz="6" w:space="0"/>
              <w:left w:val="single" w:color="000000" w:sz="6" w:space="0"/>
              <w:bottom w:val="single" w:color="000000" w:sz="6" w:space="0"/>
              <w:right w:val="single" w:color="000000" w:sz="6" w:space="0"/>
            </w:tcBorders>
            <w:vAlign w:val="center"/>
          </w:tcPr>
          <w:p w14:paraId="46C39526">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4D49A96C">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6ACB8A03">
            <w:pPr>
              <w:widowControl/>
              <w:spacing w:line="0" w:lineRule="atLeast"/>
              <w:jc w:val="center"/>
              <w:textAlignment w:val="bottom"/>
              <w:rPr>
                <w:rFonts w:cs="仿宋" w:asciiTheme="minorEastAsia" w:hAnsiTheme="minorEastAsia" w:eastAsiaTheme="minorEastAsia"/>
                <w:color w:val="000000"/>
                <w:kern w:val="0"/>
                <w:szCs w:val="21"/>
              </w:rPr>
            </w:pPr>
          </w:p>
        </w:tc>
      </w:tr>
      <w:tr w14:paraId="5C9EA2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6AEC2D8D">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11</w:t>
            </w:r>
          </w:p>
        </w:tc>
        <w:tc>
          <w:tcPr>
            <w:tcW w:w="2527" w:type="dxa"/>
            <w:tcBorders>
              <w:top w:val="single" w:color="000000" w:sz="6" w:space="0"/>
              <w:left w:val="single" w:color="000000" w:sz="6" w:space="0"/>
              <w:bottom w:val="single" w:color="000000" w:sz="6" w:space="0"/>
              <w:right w:val="single" w:color="000000" w:sz="6" w:space="0"/>
            </w:tcBorders>
            <w:vAlign w:val="center"/>
          </w:tcPr>
          <w:p w14:paraId="2ACE113F">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169BAF65">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57D0FD2B">
            <w:pPr>
              <w:widowControl/>
              <w:spacing w:line="0" w:lineRule="atLeast"/>
              <w:jc w:val="center"/>
              <w:textAlignment w:val="bottom"/>
              <w:rPr>
                <w:rFonts w:cs="仿宋" w:asciiTheme="minorEastAsia" w:hAnsiTheme="minorEastAsia" w:eastAsiaTheme="minorEastAsia"/>
                <w:color w:val="000000"/>
                <w:kern w:val="0"/>
                <w:szCs w:val="21"/>
              </w:rPr>
            </w:pPr>
          </w:p>
        </w:tc>
      </w:tr>
      <w:tr w14:paraId="4F6223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1D07F425">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12</w:t>
            </w:r>
          </w:p>
        </w:tc>
        <w:tc>
          <w:tcPr>
            <w:tcW w:w="2527" w:type="dxa"/>
            <w:tcBorders>
              <w:top w:val="single" w:color="000000" w:sz="6" w:space="0"/>
              <w:left w:val="single" w:color="000000" w:sz="6" w:space="0"/>
              <w:bottom w:val="single" w:color="000000" w:sz="6" w:space="0"/>
              <w:right w:val="single" w:color="000000" w:sz="6" w:space="0"/>
            </w:tcBorders>
            <w:vAlign w:val="center"/>
          </w:tcPr>
          <w:p w14:paraId="65AAC5E2">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1C9F44B1">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4BCA21FC">
            <w:pPr>
              <w:widowControl/>
              <w:spacing w:line="0" w:lineRule="atLeast"/>
              <w:jc w:val="center"/>
              <w:textAlignment w:val="bottom"/>
              <w:rPr>
                <w:rFonts w:cs="仿宋" w:asciiTheme="minorEastAsia" w:hAnsiTheme="minorEastAsia" w:eastAsiaTheme="minorEastAsia"/>
                <w:color w:val="000000"/>
                <w:kern w:val="0"/>
                <w:szCs w:val="21"/>
              </w:rPr>
            </w:pPr>
          </w:p>
        </w:tc>
      </w:tr>
      <w:tr w14:paraId="55234F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19C7F26F">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13</w:t>
            </w:r>
          </w:p>
        </w:tc>
        <w:tc>
          <w:tcPr>
            <w:tcW w:w="2527" w:type="dxa"/>
            <w:tcBorders>
              <w:top w:val="single" w:color="000000" w:sz="6" w:space="0"/>
              <w:left w:val="single" w:color="000000" w:sz="6" w:space="0"/>
              <w:bottom w:val="single" w:color="000000" w:sz="6" w:space="0"/>
              <w:right w:val="single" w:color="000000" w:sz="6" w:space="0"/>
            </w:tcBorders>
            <w:vAlign w:val="center"/>
          </w:tcPr>
          <w:p w14:paraId="6D331584">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3CE31F89">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705F5080">
            <w:pPr>
              <w:widowControl/>
              <w:spacing w:line="0" w:lineRule="atLeast"/>
              <w:jc w:val="center"/>
              <w:textAlignment w:val="bottom"/>
              <w:rPr>
                <w:rFonts w:cs="仿宋" w:asciiTheme="minorEastAsia" w:hAnsiTheme="minorEastAsia" w:eastAsiaTheme="minorEastAsia"/>
                <w:color w:val="000000"/>
                <w:kern w:val="0"/>
                <w:szCs w:val="21"/>
              </w:rPr>
            </w:pPr>
          </w:p>
        </w:tc>
      </w:tr>
      <w:tr w14:paraId="57EDB0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055AFC75">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14</w:t>
            </w:r>
          </w:p>
        </w:tc>
        <w:tc>
          <w:tcPr>
            <w:tcW w:w="2527" w:type="dxa"/>
            <w:tcBorders>
              <w:top w:val="single" w:color="000000" w:sz="6" w:space="0"/>
              <w:left w:val="single" w:color="000000" w:sz="6" w:space="0"/>
              <w:bottom w:val="single" w:color="000000" w:sz="6" w:space="0"/>
              <w:right w:val="single" w:color="000000" w:sz="6" w:space="0"/>
            </w:tcBorders>
            <w:vAlign w:val="center"/>
          </w:tcPr>
          <w:p w14:paraId="46002F08">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697D191D">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29C8E5B3">
            <w:pPr>
              <w:widowControl/>
              <w:spacing w:line="0" w:lineRule="atLeast"/>
              <w:jc w:val="center"/>
              <w:textAlignment w:val="bottom"/>
              <w:rPr>
                <w:rFonts w:cs="仿宋" w:asciiTheme="minorEastAsia" w:hAnsiTheme="minorEastAsia" w:eastAsiaTheme="minorEastAsia"/>
                <w:color w:val="000000"/>
                <w:kern w:val="0"/>
                <w:szCs w:val="21"/>
              </w:rPr>
            </w:pPr>
          </w:p>
        </w:tc>
      </w:tr>
      <w:tr w14:paraId="5AFF80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4CB06279">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15</w:t>
            </w:r>
          </w:p>
        </w:tc>
        <w:tc>
          <w:tcPr>
            <w:tcW w:w="2527" w:type="dxa"/>
            <w:tcBorders>
              <w:top w:val="single" w:color="000000" w:sz="6" w:space="0"/>
              <w:left w:val="single" w:color="000000" w:sz="6" w:space="0"/>
              <w:bottom w:val="single" w:color="000000" w:sz="6" w:space="0"/>
              <w:right w:val="single" w:color="000000" w:sz="6" w:space="0"/>
            </w:tcBorders>
            <w:vAlign w:val="center"/>
          </w:tcPr>
          <w:p w14:paraId="16F736C7">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3A06C012">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3E220580">
            <w:pPr>
              <w:widowControl/>
              <w:spacing w:line="0" w:lineRule="atLeast"/>
              <w:jc w:val="center"/>
              <w:textAlignment w:val="bottom"/>
              <w:rPr>
                <w:rFonts w:cs="仿宋" w:asciiTheme="minorEastAsia" w:hAnsiTheme="minorEastAsia" w:eastAsiaTheme="minorEastAsia"/>
                <w:color w:val="000000"/>
                <w:kern w:val="0"/>
                <w:szCs w:val="21"/>
              </w:rPr>
            </w:pPr>
          </w:p>
        </w:tc>
      </w:tr>
      <w:tr w14:paraId="53F06A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2D467581">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16</w:t>
            </w:r>
          </w:p>
        </w:tc>
        <w:tc>
          <w:tcPr>
            <w:tcW w:w="2527" w:type="dxa"/>
            <w:tcBorders>
              <w:top w:val="single" w:color="000000" w:sz="6" w:space="0"/>
              <w:left w:val="single" w:color="000000" w:sz="6" w:space="0"/>
              <w:bottom w:val="single" w:color="000000" w:sz="6" w:space="0"/>
              <w:right w:val="single" w:color="000000" w:sz="6" w:space="0"/>
            </w:tcBorders>
            <w:vAlign w:val="center"/>
          </w:tcPr>
          <w:p w14:paraId="31136015">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75B59D44">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73292C6D">
            <w:pPr>
              <w:widowControl/>
              <w:spacing w:line="0" w:lineRule="atLeast"/>
              <w:jc w:val="center"/>
              <w:textAlignment w:val="bottom"/>
              <w:rPr>
                <w:rFonts w:cs="仿宋" w:asciiTheme="minorEastAsia" w:hAnsiTheme="minorEastAsia" w:eastAsiaTheme="minorEastAsia"/>
                <w:color w:val="000000"/>
                <w:kern w:val="0"/>
                <w:szCs w:val="21"/>
              </w:rPr>
            </w:pPr>
          </w:p>
        </w:tc>
      </w:tr>
      <w:tr w14:paraId="3B80FB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238EBD06">
            <w:pPr>
              <w:widowControl/>
              <w:spacing w:line="0" w:lineRule="atLeast"/>
              <w:jc w:val="center"/>
              <w:textAlignment w:val="bottom"/>
              <w:rPr>
                <w:rFonts w:cs="仿宋" w:asciiTheme="minorEastAsia" w:hAnsiTheme="minorEastAsia" w:eastAsiaTheme="minorEastAsia"/>
                <w:color w:val="000000"/>
                <w:szCs w:val="21"/>
              </w:rPr>
            </w:pPr>
            <w:r>
              <w:rPr>
                <w:rFonts w:hint="eastAsia" w:cs="仿宋" w:asciiTheme="minorEastAsia" w:hAnsiTheme="minorEastAsia" w:eastAsiaTheme="minorEastAsia"/>
                <w:color w:val="000000"/>
                <w:kern w:val="0"/>
                <w:szCs w:val="21"/>
              </w:rPr>
              <w:t>17</w:t>
            </w:r>
          </w:p>
        </w:tc>
        <w:tc>
          <w:tcPr>
            <w:tcW w:w="2527" w:type="dxa"/>
            <w:tcBorders>
              <w:top w:val="single" w:color="000000" w:sz="6" w:space="0"/>
              <w:left w:val="single" w:color="000000" w:sz="6" w:space="0"/>
              <w:bottom w:val="single" w:color="000000" w:sz="6" w:space="0"/>
              <w:right w:val="single" w:color="000000" w:sz="6" w:space="0"/>
            </w:tcBorders>
            <w:vAlign w:val="center"/>
          </w:tcPr>
          <w:p w14:paraId="3151C715">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052B46D8">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0EEADD9C">
            <w:pPr>
              <w:widowControl/>
              <w:spacing w:line="0" w:lineRule="atLeast"/>
              <w:jc w:val="center"/>
              <w:textAlignment w:val="bottom"/>
              <w:rPr>
                <w:rFonts w:cs="仿宋" w:asciiTheme="minorEastAsia" w:hAnsiTheme="minorEastAsia" w:eastAsiaTheme="minorEastAsia"/>
                <w:color w:val="000000"/>
                <w:kern w:val="0"/>
                <w:szCs w:val="21"/>
              </w:rPr>
            </w:pPr>
          </w:p>
        </w:tc>
      </w:tr>
      <w:tr w14:paraId="670A08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56A77A64">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18</w:t>
            </w:r>
          </w:p>
        </w:tc>
        <w:tc>
          <w:tcPr>
            <w:tcW w:w="2527" w:type="dxa"/>
            <w:tcBorders>
              <w:top w:val="single" w:color="000000" w:sz="6" w:space="0"/>
              <w:left w:val="single" w:color="000000" w:sz="6" w:space="0"/>
              <w:bottom w:val="single" w:color="000000" w:sz="6" w:space="0"/>
              <w:right w:val="single" w:color="000000" w:sz="6" w:space="0"/>
            </w:tcBorders>
            <w:vAlign w:val="center"/>
          </w:tcPr>
          <w:p w14:paraId="59EB7890">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5A12E0FD">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223CD009">
            <w:pPr>
              <w:widowControl/>
              <w:spacing w:line="0" w:lineRule="atLeast"/>
              <w:jc w:val="center"/>
              <w:textAlignment w:val="bottom"/>
              <w:rPr>
                <w:rFonts w:cs="仿宋" w:asciiTheme="minorEastAsia" w:hAnsiTheme="minorEastAsia" w:eastAsiaTheme="minorEastAsia"/>
                <w:color w:val="000000"/>
                <w:kern w:val="0"/>
                <w:szCs w:val="21"/>
              </w:rPr>
            </w:pPr>
          </w:p>
        </w:tc>
      </w:tr>
      <w:tr w14:paraId="6F6BCE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827" w:type="dxa"/>
            <w:tcBorders>
              <w:top w:val="single" w:color="000000" w:sz="6" w:space="0"/>
              <w:left w:val="single" w:color="000000" w:sz="6" w:space="0"/>
              <w:bottom w:val="single" w:color="000000" w:sz="6" w:space="0"/>
              <w:right w:val="single" w:color="000000" w:sz="6" w:space="0"/>
            </w:tcBorders>
            <w:vAlign w:val="center"/>
          </w:tcPr>
          <w:p w14:paraId="29F9E0A4">
            <w:pPr>
              <w:widowControl/>
              <w:spacing w:line="0" w:lineRule="atLeast"/>
              <w:jc w:val="center"/>
              <w:textAlignment w:val="bottom"/>
              <w:rPr>
                <w:rFonts w:cs="仿宋" w:asciiTheme="minorEastAsia" w:hAnsiTheme="minorEastAsia" w:eastAsiaTheme="minorEastAsia"/>
                <w:color w:val="000000"/>
                <w:kern w:val="0"/>
                <w:szCs w:val="21"/>
              </w:rPr>
            </w:pPr>
            <w:r>
              <w:rPr>
                <w:rFonts w:hint="eastAsia" w:cs="仿宋" w:asciiTheme="minorEastAsia" w:hAnsiTheme="minorEastAsia" w:eastAsiaTheme="minorEastAsia"/>
                <w:color w:val="000000"/>
                <w:kern w:val="0"/>
                <w:szCs w:val="21"/>
              </w:rPr>
              <w:t>19</w:t>
            </w:r>
          </w:p>
        </w:tc>
        <w:tc>
          <w:tcPr>
            <w:tcW w:w="2527" w:type="dxa"/>
            <w:tcBorders>
              <w:top w:val="single" w:color="000000" w:sz="6" w:space="0"/>
              <w:left w:val="single" w:color="000000" w:sz="6" w:space="0"/>
              <w:bottom w:val="single" w:color="000000" w:sz="6" w:space="0"/>
              <w:right w:val="single" w:color="000000" w:sz="6" w:space="0"/>
            </w:tcBorders>
            <w:vAlign w:val="center"/>
          </w:tcPr>
          <w:p w14:paraId="41154F62">
            <w:pPr>
              <w:jc w:val="center"/>
              <w:rPr>
                <w:rFonts w:cs="宋体" w:asciiTheme="minorEastAsia" w:hAnsiTheme="minorEastAsia" w:eastAsiaTheme="minorEastAsia"/>
                <w:color w:val="000000"/>
                <w:szCs w:val="21"/>
              </w:rPr>
            </w:pPr>
          </w:p>
        </w:tc>
        <w:tc>
          <w:tcPr>
            <w:tcW w:w="3046" w:type="dxa"/>
            <w:tcBorders>
              <w:top w:val="single" w:color="000000" w:sz="6" w:space="0"/>
              <w:left w:val="single" w:color="000000" w:sz="6" w:space="0"/>
              <w:bottom w:val="single" w:color="000000" w:sz="6" w:space="0"/>
              <w:right w:val="single" w:color="000000" w:sz="6" w:space="0"/>
            </w:tcBorders>
            <w:vAlign w:val="center"/>
          </w:tcPr>
          <w:p w14:paraId="1D5A46F6">
            <w:pPr>
              <w:jc w:val="center"/>
              <w:rPr>
                <w:rFonts w:cs="宋体" w:asciiTheme="minorEastAsia" w:hAnsiTheme="minorEastAsia" w:eastAsiaTheme="minorEastAsia"/>
                <w:color w:val="000000"/>
                <w:szCs w:val="21"/>
              </w:rPr>
            </w:pPr>
          </w:p>
        </w:tc>
        <w:tc>
          <w:tcPr>
            <w:tcW w:w="1755" w:type="dxa"/>
            <w:vMerge w:val="continue"/>
            <w:tcBorders>
              <w:left w:val="single" w:color="000000" w:sz="6" w:space="0"/>
              <w:right w:val="single" w:color="000000" w:sz="6" w:space="0"/>
            </w:tcBorders>
            <w:vAlign w:val="center"/>
          </w:tcPr>
          <w:p w14:paraId="093C19FC">
            <w:pPr>
              <w:widowControl/>
              <w:spacing w:line="0" w:lineRule="atLeast"/>
              <w:jc w:val="center"/>
              <w:textAlignment w:val="bottom"/>
              <w:rPr>
                <w:rFonts w:cs="仿宋" w:asciiTheme="minorEastAsia" w:hAnsiTheme="minorEastAsia" w:eastAsiaTheme="minorEastAsia"/>
                <w:color w:val="000000"/>
                <w:kern w:val="0"/>
                <w:szCs w:val="21"/>
              </w:rPr>
            </w:pPr>
          </w:p>
        </w:tc>
      </w:tr>
    </w:tbl>
    <w:p w14:paraId="1DBBBDBA">
      <w:pPr>
        <w:pStyle w:val="85"/>
        <w:snapToGrid/>
        <w:spacing w:beforeLines="50"/>
      </w:pPr>
      <w:bookmarkStart w:id="240" w:name="_Toc181797725"/>
      <w:bookmarkStart w:id="241" w:name="_Toc8712"/>
      <w:bookmarkStart w:id="242" w:name="_Toc31483"/>
      <w:bookmarkStart w:id="243" w:name="_Toc7704"/>
      <w:r>
        <w:rPr>
          <w:rFonts w:hint="eastAsia"/>
        </w:rPr>
        <w:t>（三）开采矿种</w:t>
      </w:r>
      <w:bookmarkEnd w:id="238"/>
      <w:bookmarkEnd w:id="239"/>
      <w:bookmarkEnd w:id="240"/>
      <w:bookmarkEnd w:id="241"/>
      <w:bookmarkEnd w:id="242"/>
      <w:bookmarkEnd w:id="243"/>
    </w:p>
    <w:p w14:paraId="6EEE0902">
      <w:pPr>
        <w:pStyle w:val="98"/>
        <w:adjustRightInd/>
        <w:snapToGrid/>
        <w:ind w:firstLine="560"/>
      </w:pPr>
      <w:r>
        <w:rPr>
          <w:rFonts w:ascii="宋体" w:hAnsi="宋体" w:eastAsia="宋体"/>
        </w:rPr>
        <w:t>本次方案设计开采矿种为</w:t>
      </w:r>
      <w:r>
        <w:rPr>
          <w:rFonts w:hint="eastAsia" w:ascii="宋体" w:hAnsi="宋体" w:eastAsia="宋体" w:cs="宋体"/>
          <w:spacing w:val="2"/>
        </w:rPr>
        <w:t>建筑用白云岩、石英砂岩</w:t>
      </w:r>
      <w:r>
        <w:rPr>
          <w:rFonts w:hint="eastAsia"/>
        </w:rPr>
        <w:t>。</w:t>
      </w:r>
    </w:p>
    <w:p w14:paraId="0C79A28F">
      <w:pPr>
        <w:pStyle w:val="85"/>
      </w:pPr>
      <w:bookmarkStart w:id="244" w:name="_Toc167307757"/>
      <w:bookmarkStart w:id="245" w:name="_Toc181797726"/>
      <w:bookmarkStart w:id="246" w:name="_Toc5351"/>
      <w:bookmarkStart w:id="247" w:name="_Toc27881"/>
      <w:bookmarkStart w:id="248" w:name="_Toc16875"/>
      <w:r>
        <w:rPr>
          <w:rFonts w:hint="eastAsia"/>
        </w:rPr>
        <w:t>（四）开采方式、开采顺序、采矿方法</w:t>
      </w:r>
      <w:bookmarkEnd w:id="244"/>
      <w:bookmarkEnd w:id="245"/>
      <w:bookmarkEnd w:id="246"/>
      <w:bookmarkEnd w:id="247"/>
      <w:bookmarkEnd w:id="248"/>
    </w:p>
    <w:p w14:paraId="7EBAFA52">
      <w:pPr>
        <w:pStyle w:val="98"/>
        <w:adjustRightInd/>
        <w:snapToGrid/>
        <w:ind w:firstLine="560"/>
        <w:rPr>
          <w:rFonts w:asciiTheme="minorEastAsia" w:hAnsiTheme="minorEastAsia" w:eastAsiaTheme="minorEastAsia"/>
        </w:rPr>
      </w:pPr>
      <w:r>
        <w:rPr>
          <w:rFonts w:hint="eastAsia" w:asciiTheme="minorEastAsia" w:hAnsiTheme="minorEastAsia" w:eastAsiaTheme="minorEastAsia"/>
        </w:rPr>
        <w:t>1、开采方式</w:t>
      </w:r>
    </w:p>
    <w:p w14:paraId="2AE591C7">
      <w:pPr>
        <w:pStyle w:val="98"/>
        <w:adjustRightInd/>
        <w:snapToGrid/>
        <w:ind w:firstLine="560"/>
        <w:rPr>
          <w:rFonts w:asciiTheme="minorEastAsia" w:hAnsiTheme="minorEastAsia" w:eastAsiaTheme="minorEastAsia"/>
        </w:rPr>
      </w:pPr>
      <w:r>
        <w:rPr>
          <w:rFonts w:asciiTheme="minorEastAsia" w:hAnsiTheme="minorEastAsia" w:eastAsiaTheme="minorEastAsia"/>
        </w:rPr>
        <w:t>本次设计开采方式为</w:t>
      </w:r>
      <w:r>
        <w:rPr>
          <w:rFonts w:hint="eastAsia" w:asciiTheme="minorEastAsia" w:hAnsiTheme="minorEastAsia" w:eastAsiaTheme="minorEastAsia"/>
        </w:rPr>
        <w:t>露天</w:t>
      </w:r>
      <w:r>
        <w:rPr>
          <w:rFonts w:asciiTheme="minorEastAsia" w:hAnsiTheme="minorEastAsia" w:eastAsiaTheme="minorEastAsia"/>
        </w:rPr>
        <w:t>开采。</w:t>
      </w:r>
    </w:p>
    <w:p w14:paraId="5AF20F90">
      <w:pPr>
        <w:pStyle w:val="98"/>
        <w:adjustRightInd/>
        <w:snapToGrid/>
        <w:ind w:firstLine="560"/>
        <w:rPr>
          <w:rFonts w:asciiTheme="minorEastAsia" w:hAnsiTheme="minorEastAsia" w:eastAsiaTheme="minorEastAsia"/>
        </w:rPr>
      </w:pPr>
      <w:r>
        <w:rPr>
          <w:rFonts w:hint="eastAsia" w:asciiTheme="minorEastAsia" w:hAnsiTheme="minorEastAsia" w:eastAsiaTheme="minorEastAsia"/>
        </w:rPr>
        <w:t>2、 开采顺序</w:t>
      </w:r>
    </w:p>
    <w:p w14:paraId="7D65E235">
      <w:pPr>
        <w:pStyle w:val="98"/>
        <w:adjustRightInd/>
        <w:snapToGrid/>
        <w:ind w:firstLine="560"/>
        <w:rPr>
          <w:rFonts w:ascii="宋体" w:hAnsi="宋体" w:eastAsia="宋体" w:cs="宋体"/>
          <w:kern w:val="28"/>
        </w:rPr>
      </w:pPr>
      <w:r>
        <w:rPr>
          <w:rFonts w:hint="eastAsia" w:ascii="宋体" w:hAnsi="宋体" w:eastAsia="宋体" w:cs="宋体"/>
          <w:kern w:val="28"/>
        </w:rPr>
        <w:t>设计自南东向北西，自上而下分台阶开采。在境界内根据采场地形条件、矿体出露情况、矿体走向及开拓运输系统布置方式，形成作业平台后划分采剥工作线（带），创造扇形采剥作业面进行推进开采。</w:t>
      </w:r>
    </w:p>
    <w:p w14:paraId="0FFE8A02">
      <w:pPr>
        <w:pStyle w:val="98"/>
        <w:adjustRightInd/>
        <w:snapToGrid/>
        <w:ind w:firstLine="560"/>
        <w:rPr>
          <w:rFonts w:asciiTheme="minorEastAsia" w:hAnsiTheme="minorEastAsia" w:eastAsiaTheme="minorEastAsia"/>
        </w:rPr>
      </w:pPr>
      <w:r>
        <w:rPr>
          <w:rFonts w:hint="eastAsia" w:asciiTheme="minorEastAsia" w:hAnsiTheme="minorEastAsia" w:eastAsiaTheme="minorEastAsia"/>
        </w:rPr>
        <w:t>3、采矿方法</w:t>
      </w:r>
    </w:p>
    <w:p w14:paraId="1D9730FE">
      <w:pPr>
        <w:pStyle w:val="98"/>
        <w:adjustRightInd/>
        <w:snapToGrid/>
        <w:ind w:firstLine="560"/>
        <w:rPr>
          <w:rFonts w:ascii="宋体" w:hAnsi="宋体" w:eastAsia="宋体"/>
          <w:kern w:val="28"/>
        </w:rPr>
      </w:pPr>
      <w:r>
        <w:rPr>
          <w:rFonts w:hint="eastAsia" w:ascii="宋体" w:hAnsi="宋体" w:eastAsia="宋体" w:cs="宋体"/>
          <w:kern w:val="28"/>
        </w:rPr>
        <w:t>该矿山属于山坡露天矿山，开采顺序为自上而下分层开采。设计采用单台阶作业，由高至低逐个台阶开采，台阶高度10m，坡面角65º，推进至最终边帮时，每两个台阶并段。矿区内的剥离量主要为矿体上覆表土及风化层，采用挖掘机-卡车联合作业直接剥离的方式进行开采</w:t>
      </w:r>
      <w:r>
        <w:rPr>
          <w:rFonts w:hint="eastAsia" w:ascii="宋体" w:hAnsi="宋体" w:eastAsia="宋体"/>
          <w:kern w:val="28"/>
        </w:rPr>
        <w:t>。</w:t>
      </w:r>
    </w:p>
    <w:p w14:paraId="1F756A4C">
      <w:pPr>
        <w:pStyle w:val="85"/>
      </w:pPr>
      <w:bookmarkStart w:id="249" w:name="_Toc16355"/>
      <w:bookmarkStart w:id="250" w:name="_Toc18330"/>
      <w:bookmarkStart w:id="251" w:name="_Toc167307758"/>
      <w:bookmarkStart w:id="252" w:name="_Toc19717"/>
      <w:bookmarkStart w:id="253" w:name="_Toc181797727"/>
      <w:bookmarkStart w:id="254" w:name="_Toc154564228"/>
      <w:r>
        <w:rPr>
          <w:rFonts w:hint="eastAsia"/>
        </w:rPr>
        <w:t>（五）拟建生产规模、矿山服务年限</w:t>
      </w:r>
      <w:bookmarkEnd w:id="249"/>
      <w:bookmarkEnd w:id="250"/>
      <w:bookmarkEnd w:id="251"/>
      <w:bookmarkEnd w:id="252"/>
      <w:bookmarkEnd w:id="253"/>
      <w:bookmarkEnd w:id="254"/>
    </w:p>
    <w:p w14:paraId="403F99B7">
      <w:pPr>
        <w:pStyle w:val="98"/>
        <w:adjustRightInd/>
        <w:snapToGrid/>
        <w:ind w:firstLine="560"/>
        <w:jc w:val="left"/>
        <w:rPr>
          <w:rFonts w:asciiTheme="minorEastAsia" w:hAnsiTheme="minorEastAsia" w:eastAsiaTheme="minorEastAsia"/>
        </w:rPr>
      </w:pPr>
      <w:r>
        <w:rPr>
          <w:rFonts w:hint="eastAsia" w:asciiTheme="minorEastAsia" w:hAnsiTheme="minorEastAsia" w:eastAsiaTheme="minorEastAsia"/>
        </w:rPr>
        <w:t>矿山</w:t>
      </w:r>
      <w:r>
        <w:rPr>
          <w:rFonts w:asciiTheme="minorEastAsia" w:hAnsiTheme="minorEastAsia" w:eastAsiaTheme="minorEastAsia"/>
        </w:rPr>
        <w:t>拟建生产规模为</w:t>
      </w:r>
      <w:r>
        <w:rPr>
          <w:rFonts w:hint="eastAsia" w:ascii="宋体" w:hAnsi="宋体" w:eastAsia="宋体" w:cs="宋体"/>
        </w:rPr>
        <w:t>建筑用白云岩、石英砂岩（不分）</w:t>
      </w:r>
      <w:r>
        <w:rPr>
          <w:rFonts w:hint="eastAsia" w:asciiTheme="minorEastAsia" w:hAnsiTheme="minorEastAsia" w:eastAsiaTheme="minorEastAsia"/>
        </w:rPr>
        <w:t>43万m</w:t>
      </w:r>
      <w:r>
        <w:rPr>
          <w:rFonts w:hint="eastAsia" w:asciiTheme="minorEastAsia" w:hAnsiTheme="minorEastAsia" w:eastAsiaTheme="minorEastAsia"/>
          <w:vertAlign w:val="superscript"/>
        </w:rPr>
        <w:t>3</w:t>
      </w:r>
      <w:r>
        <w:rPr>
          <w:rFonts w:hint="eastAsia" w:asciiTheme="minorEastAsia" w:hAnsiTheme="minorEastAsia" w:eastAsiaTheme="minorEastAsia"/>
        </w:rPr>
        <w:t>/年，矿山服务年限约为10年</w:t>
      </w:r>
      <w:r>
        <w:rPr>
          <w:rFonts w:asciiTheme="minorEastAsia" w:hAnsiTheme="minorEastAsia" w:eastAsiaTheme="minorEastAsia"/>
        </w:rPr>
        <w:t>。</w:t>
      </w:r>
    </w:p>
    <w:p w14:paraId="177AA6F5">
      <w:pPr>
        <w:pStyle w:val="85"/>
      </w:pPr>
      <w:bookmarkStart w:id="255" w:name="_Toc7189"/>
      <w:bookmarkStart w:id="256" w:name="_Toc167307759"/>
      <w:bookmarkStart w:id="257" w:name="_Toc154564231"/>
      <w:bookmarkStart w:id="258" w:name="_Toc1257"/>
      <w:bookmarkStart w:id="259" w:name="_Toc14535"/>
      <w:bookmarkStart w:id="260" w:name="_Toc181797728"/>
      <w:r>
        <w:rPr>
          <w:rFonts w:hint="eastAsia"/>
        </w:rPr>
        <w:t>（六）资源综合利用</w:t>
      </w:r>
      <w:bookmarkEnd w:id="255"/>
      <w:bookmarkEnd w:id="256"/>
      <w:bookmarkEnd w:id="257"/>
      <w:bookmarkEnd w:id="258"/>
      <w:bookmarkEnd w:id="259"/>
      <w:bookmarkEnd w:id="260"/>
    </w:p>
    <w:p w14:paraId="1804C210">
      <w:pPr>
        <w:pStyle w:val="98"/>
        <w:ind w:firstLine="560"/>
        <w:rPr>
          <w:rFonts w:ascii="宋体" w:hAnsi="宋体" w:eastAsia="宋体"/>
        </w:rPr>
      </w:pPr>
      <w:r>
        <w:rPr>
          <w:rFonts w:hint="eastAsia" w:ascii="宋体" w:hAnsi="宋体" w:eastAsia="宋体" w:cs="宋体"/>
        </w:rPr>
        <w:t>本次设计矿山开采回采率为</w:t>
      </w:r>
      <w:r>
        <w:rPr>
          <w:rFonts w:hint="eastAsia" w:ascii="宋体" w:hAnsi="宋体" w:eastAsia="宋体"/>
        </w:rPr>
        <w:t>100</w:t>
      </w:r>
      <w:r>
        <w:rPr>
          <w:rFonts w:ascii="宋体" w:hAnsi="宋体" w:eastAsia="宋体"/>
        </w:rPr>
        <w:t>%</w:t>
      </w:r>
      <w:r>
        <w:rPr>
          <w:rFonts w:hint="eastAsia" w:ascii="宋体" w:hAnsi="宋体" w:eastAsia="宋体" w:cs="宋体"/>
        </w:rPr>
        <w:t>，满足建筑用石料矿山开采回采率一般指标要求；矿区内除建筑用白云岩、石英砂外，无其他伴生矿产资源存在，不涉及共伴生矿产的综合利用。根据建筑用砂石的不同规格要求，通过破碎、筛分出不同粒度级配的产品，以满足不同建筑工程的需求。</w:t>
      </w:r>
    </w:p>
    <w:sectPr>
      <w:footerReference r:id="rId8" w:type="default"/>
      <w:pgSz w:w="11906" w:h="16838"/>
      <w:pgMar w:top="1429" w:right="1661" w:bottom="1208" w:left="1514" w:header="1020" w:footer="907" w:gutter="0"/>
      <w:cols w:space="0" w:num="1"/>
      <w:docGrid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iddenHorzOCl">
    <w:altName w:val="宋体"/>
    <w:panose1 w:val="00000000000000000000"/>
    <w:charset w:val="86"/>
    <w:family w:val="swiss"/>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2" w:usb3="00000000" w:csb0="00040001" w:csb1="00000000"/>
  </w:font>
  <w:font w:name="MS Mincho">
    <w:panose1 w:val="02020609040205080304"/>
    <w:charset w:val="80"/>
    <w:family w:val="modern"/>
    <w:pitch w:val="default"/>
    <w:sig w:usb0="A00002BF" w:usb1="68C7FCFB" w:usb2="00000010" w:usb3="00000000" w:csb0="4002009F" w:csb1="DFD70000"/>
  </w:font>
  <w:font w:name="宋体 .瑨">
    <w:altName w:val="宋体"/>
    <w:panose1 w:val="00000000000000000000"/>
    <w:charset w:val="86"/>
    <w:family w:val="roma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426EC">
    <w:pPr>
      <w:pStyle w:val="25"/>
      <w:pBdr>
        <w:top w:val="none" w:color="auto" w:sz="0" w:space="1"/>
        <w:left w:val="none" w:color="auto" w:sz="0" w:space="4"/>
        <w:bottom w:val="none" w:color="auto" w:sz="0" w:space="1"/>
        <w:right w:val="none" w:color="auto" w:sz="0" w:space="4"/>
      </w:pBdr>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784844"/>
      <w:docPartObj>
        <w:docPartGallery w:val="autotext"/>
      </w:docPartObj>
    </w:sdtPr>
    <w:sdtContent>
      <w:p w14:paraId="52F92F93">
        <w:pPr>
          <w:pStyle w:val="25"/>
          <w:ind w:firstLine="480"/>
          <w:jc w:val="center"/>
        </w:pPr>
        <w:r>
          <w:fldChar w:fldCharType="begin"/>
        </w:r>
        <w:r>
          <w:instrText xml:space="preserve"> PAGE   \* MERGEFORMAT </w:instrText>
        </w:r>
        <w:r>
          <w:fldChar w:fldCharType="separate"/>
        </w:r>
        <w:r>
          <w:rPr>
            <w:lang w:val="zh-CN"/>
          </w:rPr>
          <w:t>1</w:t>
        </w:r>
        <w:r>
          <w:rPr>
            <w:lang w:val="zh-CN"/>
          </w:rPr>
          <w:fldChar w:fldCharType="end"/>
        </w:r>
      </w:p>
    </w:sdtContent>
  </w:sdt>
  <w:p w14:paraId="4488BBD0">
    <w:pPr>
      <w:pStyle w:val="25"/>
      <w:tabs>
        <w:tab w:val="center" w:pos="4365"/>
        <w:tab w:val="clear" w:pos="4153"/>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E6324">
    <w:pPr>
      <w:pStyle w:val="25"/>
      <w:framePr w:wrap="around" w:vAnchor="text" w:hAnchor="margin" w:xAlign="center" w:y="1"/>
      <w:rPr>
        <w:rStyle w:val="46"/>
      </w:rPr>
    </w:pPr>
    <w:r>
      <w:fldChar w:fldCharType="begin"/>
    </w:r>
    <w:r>
      <w:rPr>
        <w:rStyle w:val="46"/>
      </w:rPr>
      <w:instrText xml:space="preserve">PAGE  </w:instrText>
    </w:r>
    <w:r>
      <w:fldChar w:fldCharType="separate"/>
    </w:r>
    <w:r>
      <w:rPr>
        <w:rStyle w:val="46"/>
      </w:rP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2F374">
    <w:pPr>
      <w:pStyle w:val="25"/>
      <w:ind w:firstLine="48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370D3">
    <w:pPr>
      <w:pStyle w:val="26"/>
      <w:pBdr>
        <w:bottom w:val="none" w:color="auto" w:sz="0" w:space="1"/>
      </w:pBdr>
      <w:rPr>
        <w:rFonts w:ascii="宋体" w:hAnsi="宋体"/>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0B7D0">
    <w:pPr>
      <w:pStyle w:val="26"/>
      <w:pBdr>
        <w:top w:val="none" w:color="auto" w:sz="0" w:space="1"/>
        <w:left w:val="none" w:color="auto" w:sz="0" w:space="4"/>
        <w:bottom w:val="none" w:color="auto" w:sz="0" w:space="1"/>
        <w:right w:val="none" w:color="auto" w:sz="0" w:space="4"/>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210"/>
  <w:drawingGridVerticalSpacing w:val="-794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CTIVE" w:val="辽宁省兴城市郭家镇姚沟铅锌矿区普查报告.doc"/>
    <w:docVar w:name="commondata" w:val="eyJoZGlkIjoiYmUyODIzODYwNjI1ODkzYWYwYjE3MGUwYWE5MGIwMjAifQ=="/>
    <w:docVar w:name="VTCASE" w:val="4"/>
    <w:docVar w:name="VTCommandPending" w:val="NONE"/>
    <w:docVar w:name="VTCurMacroFlags$" w:val="NNNN"/>
    <w:docVar w:name="VTINIT" w:val="1"/>
    <w:docVar w:name="VTypeCAPFlag$" w:val="FALSE"/>
    <w:docVar w:name="VTypeJoinDigitFlag$" w:val="FALSE"/>
    <w:docVar w:name="VTypeLCFlag$" w:val="FALSE"/>
    <w:docVar w:name="VTypeNoSpaceFlag$" w:val="TRUE"/>
    <w:docVar w:name="VTypeSpaceFlag$" w:val="FALSE"/>
    <w:docVar w:name="VTypeUCFlag$" w:val="FALSE"/>
  </w:docVars>
  <w:rsids>
    <w:rsidRoot w:val="00172A27"/>
    <w:rsid w:val="00000856"/>
    <w:rsid w:val="00004654"/>
    <w:rsid w:val="00004D20"/>
    <w:rsid w:val="00004D4F"/>
    <w:rsid w:val="00006C5C"/>
    <w:rsid w:val="00007E87"/>
    <w:rsid w:val="000103DC"/>
    <w:rsid w:val="0001354B"/>
    <w:rsid w:val="00015999"/>
    <w:rsid w:val="00016FD0"/>
    <w:rsid w:val="00022829"/>
    <w:rsid w:val="00022929"/>
    <w:rsid w:val="00023DBE"/>
    <w:rsid w:val="00024241"/>
    <w:rsid w:val="0002474F"/>
    <w:rsid w:val="00024D26"/>
    <w:rsid w:val="00025374"/>
    <w:rsid w:val="00025E3F"/>
    <w:rsid w:val="000262A0"/>
    <w:rsid w:val="00026EC6"/>
    <w:rsid w:val="0003017E"/>
    <w:rsid w:val="0003220B"/>
    <w:rsid w:val="00032F40"/>
    <w:rsid w:val="00034390"/>
    <w:rsid w:val="00034E75"/>
    <w:rsid w:val="00037F43"/>
    <w:rsid w:val="00040335"/>
    <w:rsid w:val="0004270C"/>
    <w:rsid w:val="000436AD"/>
    <w:rsid w:val="00044606"/>
    <w:rsid w:val="00045D15"/>
    <w:rsid w:val="00045D19"/>
    <w:rsid w:val="0005066E"/>
    <w:rsid w:val="000509B9"/>
    <w:rsid w:val="00050DB8"/>
    <w:rsid w:val="00051C1D"/>
    <w:rsid w:val="00051E45"/>
    <w:rsid w:val="0005329D"/>
    <w:rsid w:val="00054E02"/>
    <w:rsid w:val="000611E0"/>
    <w:rsid w:val="0006458B"/>
    <w:rsid w:val="000647AC"/>
    <w:rsid w:val="00064A12"/>
    <w:rsid w:val="000657EC"/>
    <w:rsid w:val="000665AC"/>
    <w:rsid w:val="00067E28"/>
    <w:rsid w:val="00070413"/>
    <w:rsid w:val="000734EC"/>
    <w:rsid w:val="00076D0E"/>
    <w:rsid w:val="00077FF3"/>
    <w:rsid w:val="00082929"/>
    <w:rsid w:val="00084F22"/>
    <w:rsid w:val="00086648"/>
    <w:rsid w:val="00087D4D"/>
    <w:rsid w:val="00091034"/>
    <w:rsid w:val="00092AB2"/>
    <w:rsid w:val="00093263"/>
    <w:rsid w:val="000945FD"/>
    <w:rsid w:val="000973D1"/>
    <w:rsid w:val="000A1A6F"/>
    <w:rsid w:val="000A44A4"/>
    <w:rsid w:val="000A6CD0"/>
    <w:rsid w:val="000A78B3"/>
    <w:rsid w:val="000B0196"/>
    <w:rsid w:val="000B0570"/>
    <w:rsid w:val="000B283B"/>
    <w:rsid w:val="000B4004"/>
    <w:rsid w:val="000B412D"/>
    <w:rsid w:val="000B4A07"/>
    <w:rsid w:val="000B53F4"/>
    <w:rsid w:val="000B5A65"/>
    <w:rsid w:val="000B619C"/>
    <w:rsid w:val="000B68CF"/>
    <w:rsid w:val="000C0721"/>
    <w:rsid w:val="000C1402"/>
    <w:rsid w:val="000C2FB6"/>
    <w:rsid w:val="000C730F"/>
    <w:rsid w:val="000C79C2"/>
    <w:rsid w:val="000D0E1C"/>
    <w:rsid w:val="000D257E"/>
    <w:rsid w:val="000E18DE"/>
    <w:rsid w:val="000E4810"/>
    <w:rsid w:val="000E52F4"/>
    <w:rsid w:val="000E6BC7"/>
    <w:rsid w:val="000F03CB"/>
    <w:rsid w:val="000F12F8"/>
    <w:rsid w:val="000F7C5C"/>
    <w:rsid w:val="000F7C63"/>
    <w:rsid w:val="001007B1"/>
    <w:rsid w:val="001013FA"/>
    <w:rsid w:val="00103EF8"/>
    <w:rsid w:val="0010494C"/>
    <w:rsid w:val="00105C68"/>
    <w:rsid w:val="00106547"/>
    <w:rsid w:val="00107DE1"/>
    <w:rsid w:val="0011304D"/>
    <w:rsid w:val="00113218"/>
    <w:rsid w:val="001134D4"/>
    <w:rsid w:val="00114F0A"/>
    <w:rsid w:val="0012253C"/>
    <w:rsid w:val="00123781"/>
    <w:rsid w:val="00124AF2"/>
    <w:rsid w:val="001258D3"/>
    <w:rsid w:val="00126579"/>
    <w:rsid w:val="00126600"/>
    <w:rsid w:val="001358B1"/>
    <w:rsid w:val="00135E44"/>
    <w:rsid w:val="001360AE"/>
    <w:rsid w:val="00137108"/>
    <w:rsid w:val="00143EDB"/>
    <w:rsid w:val="00150122"/>
    <w:rsid w:val="00150ACE"/>
    <w:rsid w:val="00150E84"/>
    <w:rsid w:val="00152688"/>
    <w:rsid w:val="00153576"/>
    <w:rsid w:val="00153F90"/>
    <w:rsid w:val="0015467A"/>
    <w:rsid w:val="00161498"/>
    <w:rsid w:val="00163CC3"/>
    <w:rsid w:val="00166702"/>
    <w:rsid w:val="00166ABD"/>
    <w:rsid w:val="001717CA"/>
    <w:rsid w:val="00172A27"/>
    <w:rsid w:val="00173E37"/>
    <w:rsid w:val="00174468"/>
    <w:rsid w:val="00176324"/>
    <w:rsid w:val="00180088"/>
    <w:rsid w:val="00181158"/>
    <w:rsid w:val="00181EEF"/>
    <w:rsid w:val="00184B92"/>
    <w:rsid w:val="00186BEE"/>
    <w:rsid w:val="0019088C"/>
    <w:rsid w:val="00194BCC"/>
    <w:rsid w:val="001952ED"/>
    <w:rsid w:val="001A2B49"/>
    <w:rsid w:val="001A468A"/>
    <w:rsid w:val="001A48BB"/>
    <w:rsid w:val="001A70E7"/>
    <w:rsid w:val="001B54D9"/>
    <w:rsid w:val="001B5B15"/>
    <w:rsid w:val="001C3A52"/>
    <w:rsid w:val="001C3F32"/>
    <w:rsid w:val="001D183D"/>
    <w:rsid w:val="001D1962"/>
    <w:rsid w:val="001D1AE3"/>
    <w:rsid w:val="001D224F"/>
    <w:rsid w:val="001D7861"/>
    <w:rsid w:val="001E0B66"/>
    <w:rsid w:val="001E1FE4"/>
    <w:rsid w:val="001E22B9"/>
    <w:rsid w:val="001E316E"/>
    <w:rsid w:val="001E33D7"/>
    <w:rsid w:val="001E57CF"/>
    <w:rsid w:val="001F21C3"/>
    <w:rsid w:val="001F43EA"/>
    <w:rsid w:val="001F4BBA"/>
    <w:rsid w:val="00204703"/>
    <w:rsid w:val="00204BEB"/>
    <w:rsid w:val="00210015"/>
    <w:rsid w:val="00210456"/>
    <w:rsid w:val="002104D4"/>
    <w:rsid w:val="0021094D"/>
    <w:rsid w:val="00211D0B"/>
    <w:rsid w:val="00214031"/>
    <w:rsid w:val="00214738"/>
    <w:rsid w:val="00215935"/>
    <w:rsid w:val="00216938"/>
    <w:rsid w:val="00220300"/>
    <w:rsid w:val="002205FC"/>
    <w:rsid w:val="00223D7F"/>
    <w:rsid w:val="00223E45"/>
    <w:rsid w:val="002242DC"/>
    <w:rsid w:val="00224F66"/>
    <w:rsid w:val="0022725D"/>
    <w:rsid w:val="00230160"/>
    <w:rsid w:val="00230891"/>
    <w:rsid w:val="00231D70"/>
    <w:rsid w:val="0023257D"/>
    <w:rsid w:val="00233310"/>
    <w:rsid w:val="0023413D"/>
    <w:rsid w:val="002348B2"/>
    <w:rsid w:val="00235EE8"/>
    <w:rsid w:val="00242083"/>
    <w:rsid w:val="00242206"/>
    <w:rsid w:val="00244027"/>
    <w:rsid w:val="002445E2"/>
    <w:rsid w:val="00250575"/>
    <w:rsid w:val="002515E8"/>
    <w:rsid w:val="00252433"/>
    <w:rsid w:val="00252494"/>
    <w:rsid w:val="0025414E"/>
    <w:rsid w:val="002541D8"/>
    <w:rsid w:val="00260420"/>
    <w:rsid w:val="002605D8"/>
    <w:rsid w:val="002620DB"/>
    <w:rsid w:val="0026253F"/>
    <w:rsid w:val="0026427A"/>
    <w:rsid w:val="00266150"/>
    <w:rsid w:val="0026670E"/>
    <w:rsid w:val="00267026"/>
    <w:rsid w:val="0027005F"/>
    <w:rsid w:val="00270B8B"/>
    <w:rsid w:val="00271112"/>
    <w:rsid w:val="002720FC"/>
    <w:rsid w:val="00272157"/>
    <w:rsid w:val="00274F1F"/>
    <w:rsid w:val="00276309"/>
    <w:rsid w:val="00276E0A"/>
    <w:rsid w:val="0027753D"/>
    <w:rsid w:val="00285518"/>
    <w:rsid w:val="002869A0"/>
    <w:rsid w:val="00291C11"/>
    <w:rsid w:val="00292079"/>
    <w:rsid w:val="002950C6"/>
    <w:rsid w:val="002A065A"/>
    <w:rsid w:val="002A0C64"/>
    <w:rsid w:val="002A1773"/>
    <w:rsid w:val="002A2AC8"/>
    <w:rsid w:val="002A4F29"/>
    <w:rsid w:val="002A667B"/>
    <w:rsid w:val="002B32FE"/>
    <w:rsid w:val="002B57BA"/>
    <w:rsid w:val="002C0498"/>
    <w:rsid w:val="002C2039"/>
    <w:rsid w:val="002C30D6"/>
    <w:rsid w:val="002C3D1E"/>
    <w:rsid w:val="002C43F9"/>
    <w:rsid w:val="002C578A"/>
    <w:rsid w:val="002C587B"/>
    <w:rsid w:val="002C6F4F"/>
    <w:rsid w:val="002C6FFA"/>
    <w:rsid w:val="002C72A5"/>
    <w:rsid w:val="002C7CFA"/>
    <w:rsid w:val="002D1462"/>
    <w:rsid w:val="002D2030"/>
    <w:rsid w:val="002D2213"/>
    <w:rsid w:val="002D23EB"/>
    <w:rsid w:val="002D5A8F"/>
    <w:rsid w:val="002E00CC"/>
    <w:rsid w:val="002F090D"/>
    <w:rsid w:val="002F13AC"/>
    <w:rsid w:val="002F1517"/>
    <w:rsid w:val="002F26BC"/>
    <w:rsid w:val="002F2CB0"/>
    <w:rsid w:val="002F3272"/>
    <w:rsid w:val="002F3AE8"/>
    <w:rsid w:val="002F7D99"/>
    <w:rsid w:val="003022C8"/>
    <w:rsid w:val="00302983"/>
    <w:rsid w:val="00302AEE"/>
    <w:rsid w:val="00302FE0"/>
    <w:rsid w:val="00303B12"/>
    <w:rsid w:val="00304171"/>
    <w:rsid w:val="00304CD3"/>
    <w:rsid w:val="00306B8C"/>
    <w:rsid w:val="00306EE4"/>
    <w:rsid w:val="00307327"/>
    <w:rsid w:val="00307C80"/>
    <w:rsid w:val="0031033C"/>
    <w:rsid w:val="00310C0F"/>
    <w:rsid w:val="00314CA2"/>
    <w:rsid w:val="00314DC8"/>
    <w:rsid w:val="00315B0C"/>
    <w:rsid w:val="00323219"/>
    <w:rsid w:val="00330CC9"/>
    <w:rsid w:val="00332975"/>
    <w:rsid w:val="00333D60"/>
    <w:rsid w:val="0033609B"/>
    <w:rsid w:val="003374B9"/>
    <w:rsid w:val="00337DFC"/>
    <w:rsid w:val="00340321"/>
    <w:rsid w:val="0034109E"/>
    <w:rsid w:val="0034267B"/>
    <w:rsid w:val="00342DD9"/>
    <w:rsid w:val="00343032"/>
    <w:rsid w:val="0034311F"/>
    <w:rsid w:val="00343DC6"/>
    <w:rsid w:val="00344EDF"/>
    <w:rsid w:val="00345016"/>
    <w:rsid w:val="003471C5"/>
    <w:rsid w:val="003514DA"/>
    <w:rsid w:val="003529E8"/>
    <w:rsid w:val="00352DBC"/>
    <w:rsid w:val="0035617F"/>
    <w:rsid w:val="003563F9"/>
    <w:rsid w:val="0035785C"/>
    <w:rsid w:val="00360623"/>
    <w:rsid w:val="00360EB4"/>
    <w:rsid w:val="00362A9A"/>
    <w:rsid w:val="00362DEB"/>
    <w:rsid w:val="00363B4E"/>
    <w:rsid w:val="003642F6"/>
    <w:rsid w:val="00366599"/>
    <w:rsid w:val="00366F5D"/>
    <w:rsid w:val="00366F63"/>
    <w:rsid w:val="00370B8F"/>
    <w:rsid w:val="003757FB"/>
    <w:rsid w:val="003769E2"/>
    <w:rsid w:val="0038630F"/>
    <w:rsid w:val="00387532"/>
    <w:rsid w:val="003916CE"/>
    <w:rsid w:val="00392951"/>
    <w:rsid w:val="0039484C"/>
    <w:rsid w:val="003A091B"/>
    <w:rsid w:val="003A19FA"/>
    <w:rsid w:val="003A2319"/>
    <w:rsid w:val="003A6941"/>
    <w:rsid w:val="003A6A6B"/>
    <w:rsid w:val="003B28F8"/>
    <w:rsid w:val="003B4F6A"/>
    <w:rsid w:val="003C0640"/>
    <w:rsid w:val="003C0F9D"/>
    <w:rsid w:val="003D0686"/>
    <w:rsid w:val="003D06EC"/>
    <w:rsid w:val="003D13A2"/>
    <w:rsid w:val="003D25BA"/>
    <w:rsid w:val="003D2DC2"/>
    <w:rsid w:val="003D6936"/>
    <w:rsid w:val="003E0A97"/>
    <w:rsid w:val="003E1FC6"/>
    <w:rsid w:val="003E23C5"/>
    <w:rsid w:val="003E2B98"/>
    <w:rsid w:val="003E34D7"/>
    <w:rsid w:val="003E6532"/>
    <w:rsid w:val="003E7550"/>
    <w:rsid w:val="003E7624"/>
    <w:rsid w:val="003E7F70"/>
    <w:rsid w:val="003F0C0A"/>
    <w:rsid w:val="003F0D12"/>
    <w:rsid w:val="003F190E"/>
    <w:rsid w:val="003F2577"/>
    <w:rsid w:val="003F4CED"/>
    <w:rsid w:val="003F5B27"/>
    <w:rsid w:val="003F5D69"/>
    <w:rsid w:val="003F762E"/>
    <w:rsid w:val="004028F8"/>
    <w:rsid w:val="00402DB5"/>
    <w:rsid w:val="00403A63"/>
    <w:rsid w:val="00404736"/>
    <w:rsid w:val="0040485F"/>
    <w:rsid w:val="00405A69"/>
    <w:rsid w:val="0040651D"/>
    <w:rsid w:val="00410F0A"/>
    <w:rsid w:val="0041318D"/>
    <w:rsid w:val="00413BAC"/>
    <w:rsid w:val="004163D6"/>
    <w:rsid w:val="00421087"/>
    <w:rsid w:val="004213EA"/>
    <w:rsid w:val="0042193A"/>
    <w:rsid w:val="00421ACB"/>
    <w:rsid w:val="00421CC8"/>
    <w:rsid w:val="00425307"/>
    <w:rsid w:val="00425A8C"/>
    <w:rsid w:val="004265F8"/>
    <w:rsid w:val="00427843"/>
    <w:rsid w:val="0043394E"/>
    <w:rsid w:val="00433D87"/>
    <w:rsid w:val="0043606C"/>
    <w:rsid w:val="00441A9E"/>
    <w:rsid w:val="0044667C"/>
    <w:rsid w:val="00446B38"/>
    <w:rsid w:val="004473BB"/>
    <w:rsid w:val="00450196"/>
    <w:rsid w:val="00453546"/>
    <w:rsid w:val="00453D7C"/>
    <w:rsid w:val="004541E5"/>
    <w:rsid w:val="00454515"/>
    <w:rsid w:val="00456500"/>
    <w:rsid w:val="00456715"/>
    <w:rsid w:val="0045673C"/>
    <w:rsid w:val="0045696E"/>
    <w:rsid w:val="004577D3"/>
    <w:rsid w:val="004603B9"/>
    <w:rsid w:val="00460759"/>
    <w:rsid w:val="004635BE"/>
    <w:rsid w:val="00463B88"/>
    <w:rsid w:val="004644BA"/>
    <w:rsid w:val="00465F20"/>
    <w:rsid w:val="00465FFD"/>
    <w:rsid w:val="00471EA4"/>
    <w:rsid w:val="00472F86"/>
    <w:rsid w:val="004737DE"/>
    <w:rsid w:val="00477431"/>
    <w:rsid w:val="00480141"/>
    <w:rsid w:val="0048042D"/>
    <w:rsid w:val="004812C0"/>
    <w:rsid w:val="0048308B"/>
    <w:rsid w:val="00483774"/>
    <w:rsid w:val="0048387E"/>
    <w:rsid w:val="00483E84"/>
    <w:rsid w:val="00490E45"/>
    <w:rsid w:val="0049247A"/>
    <w:rsid w:val="00492627"/>
    <w:rsid w:val="00494D6D"/>
    <w:rsid w:val="00496F09"/>
    <w:rsid w:val="00497D2F"/>
    <w:rsid w:val="00497F6E"/>
    <w:rsid w:val="004A13C1"/>
    <w:rsid w:val="004A159C"/>
    <w:rsid w:val="004B1738"/>
    <w:rsid w:val="004C02F1"/>
    <w:rsid w:val="004C0FF3"/>
    <w:rsid w:val="004C1744"/>
    <w:rsid w:val="004C1C7D"/>
    <w:rsid w:val="004C2DB7"/>
    <w:rsid w:val="004C32A2"/>
    <w:rsid w:val="004C4266"/>
    <w:rsid w:val="004C51FD"/>
    <w:rsid w:val="004C6A85"/>
    <w:rsid w:val="004C6C9C"/>
    <w:rsid w:val="004D04AE"/>
    <w:rsid w:val="004D4FA4"/>
    <w:rsid w:val="004D57D7"/>
    <w:rsid w:val="004D6189"/>
    <w:rsid w:val="004D6FC4"/>
    <w:rsid w:val="004E55D9"/>
    <w:rsid w:val="004E59EE"/>
    <w:rsid w:val="004E7705"/>
    <w:rsid w:val="004E7B56"/>
    <w:rsid w:val="004F03E2"/>
    <w:rsid w:val="004F07F6"/>
    <w:rsid w:val="004F3586"/>
    <w:rsid w:val="004F3913"/>
    <w:rsid w:val="004F4094"/>
    <w:rsid w:val="004F5F66"/>
    <w:rsid w:val="00500DD0"/>
    <w:rsid w:val="00501E99"/>
    <w:rsid w:val="0050298A"/>
    <w:rsid w:val="0050588E"/>
    <w:rsid w:val="00506504"/>
    <w:rsid w:val="0051106F"/>
    <w:rsid w:val="005131D1"/>
    <w:rsid w:val="005137D0"/>
    <w:rsid w:val="005215B1"/>
    <w:rsid w:val="00524AAE"/>
    <w:rsid w:val="00527A88"/>
    <w:rsid w:val="005305E0"/>
    <w:rsid w:val="0053207B"/>
    <w:rsid w:val="005320DC"/>
    <w:rsid w:val="005414F5"/>
    <w:rsid w:val="00544190"/>
    <w:rsid w:val="00546D59"/>
    <w:rsid w:val="00554834"/>
    <w:rsid w:val="00556208"/>
    <w:rsid w:val="00557249"/>
    <w:rsid w:val="00562E9B"/>
    <w:rsid w:val="005636BF"/>
    <w:rsid w:val="0056412A"/>
    <w:rsid w:val="005645C0"/>
    <w:rsid w:val="00571AF0"/>
    <w:rsid w:val="00571D73"/>
    <w:rsid w:val="0057281C"/>
    <w:rsid w:val="00577D7C"/>
    <w:rsid w:val="00580BC3"/>
    <w:rsid w:val="0058471A"/>
    <w:rsid w:val="00584911"/>
    <w:rsid w:val="005861F1"/>
    <w:rsid w:val="00586C12"/>
    <w:rsid w:val="00587D49"/>
    <w:rsid w:val="00590394"/>
    <w:rsid w:val="00592C56"/>
    <w:rsid w:val="00593196"/>
    <w:rsid w:val="00597D61"/>
    <w:rsid w:val="005A1117"/>
    <w:rsid w:val="005A402D"/>
    <w:rsid w:val="005A47EC"/>
    <w:rsid w:val="005A4E1A"/>
    <w:rsid w:val="005A62B1"/>
    <w:rsid w:val="005B17A1"/>
    <w:rsid w:val="005B1B07"/>
    <w:rsid w:val="005B4988"/>
    <w:rsid w:val="005B51F1"/>
    <w:rsid w:val="005B76AF"/>
    <w:rsid w:val="005C0FC2"/>
    <w:rsid w:val="005C2B35"/>
    <w:rsid w:val="005C2E2D"/>
    <w:rsid w:val="005C3A8F"/>
    <w:rsid w:val="005C4E8A"/>
    <w:rsid w:val="005C7FD6"/>
    <w:rsid w:val="005D16BC"/>
    <w:rsid w:val="005D28C4"/>
    <w:rsid w:val="005D7908"/>
    <w:rsid w:val="005D7B60"/>
    <w:rsid w:val="005E092D"/>
    <w:rsid w:val="005E0ED9"/>
    <w:rsid w:val="005E1404"/>
    <w:rsid w:val="005E2E03"/>
    <w:rsid w:val="005E35EB"/>
    <w:rsid w:val="005E38B9"/>
    <w:rsid w:val="005E6BE0"/>
    <w:rsid w:val="005E7C78"/>
    <w:rsid w:val="005F1810"/>
    <w:rsid w:val="005F2485"/>
    <w:rsid w:val="005F29A6"/>
    <w:rsid w:val="005F55F7"/>
    <w:rsid w:val="005F5C61"/>
    <w:rsid w:val="005F755A"/>
    <w:rsid w:val="005F7EA5"/>
    <w:rsid w:val="00600EB8"/>
    <w:rsid w:val="00601695"/>
    <w:rsid w:val="00603A05"/>
    <w:rsid w:val="00604664"/>
    <w:rsid w:val="0060511C"/>
    <w:rsid w:val="00612ABA"/>
    <w:rsid w:val="00617419"/>
    <w:rsid w:val="00620524"/>
    <w:rsid w:val="006211F3"/>
    <w:rsid w:val="006214F2"/>
    <w:rsid w:val="00623C4C"/>
    <w:rsid w:val="006249F3"/>
    <w:rsid w:val="00625D95"/>
    <w:rsid w:val="0062746A"/>
    <w:rsid w:val="006319A9"/>
    <w:rsid w:val="0063681C"/>
    <w:rsid w:val="00637ADA"/>
    <w:rsid w:val="006409F4"/>
    <w:rsid w:val="0064385C"/>
    <w:rsid w:val="00643A27"/>
    <w:rsid w:val="0064444C"/>
    <w:rsid w:val="006454EC"/>
    <w:rsid w:val="006459F1"/>
    <w:rsid w:val="00646E45"/>
    <w:rsid w:val="00651A55"/>
    <w:rsid w:val="00651C88"/>
    <w:rsid w:val="00651E70"/>
    <w:rsid w:val="00653E09"/>
    <w:rsid w:val="0065603D"/>
    <w:rsid w:val="00656109"/>
    <w:rsid w:val="00656B25"/>
    <w:rsid w:val="00657465"/>
    <w:rsid w:val="00657C04"/>
    <w:rsid w:val="00662666"/>
    <w:rsid w:val="006626EB"/>
    <w:rsid w:val="006629C3"/>
    <w:rsid w:val="006630C6"/>
    <w:rsid w:val="006664EC"/>
    <w:rsid w:val="00667DA7"/>
    <w:rsid w:val="00670F2C"/>
    <w:rsid w:val="00675B9B"/>
    <w:rsid w:val="00676878"/>
    <w:rsid w:val="006800D4"/>
    <w:rsid w:val="00680B9F"/>
    <w:rsid w:val="00683DFE"/>
    <w:rsid w:val="00685BA6"/>
    <w:rsid w:val="00692BEC"/>
    <w:rsid w:val="0069324D"/>
    <w:rsid w:val="00697456"/>
    <w:rsid w:val="006A14D6"/>
    <w:rsid w:val="006A180A"/>
    <w:rsid w:val="006A1ED8"/>
    <w:rsid w:val="006A2F19"/>
    <w:rsid w:val="006A343B"/>
    <w:rsid w:val="006A45D3"/>
    <w:rsid w:val="006A74A0"/>
    <w:rsid w:val="006B1754"/>
    <w:rsid w:val="006B39A6"/>
    <w:rsid w:val="006B3A9B"/>
    <w:rsid w:val="006B55A7"/>
    <w:rsid w:val="006B5B27"/>
    <w:rsid w:val="006C00FD"/>
    <w:rsid w:val="006C10FC"/>
    <w:rsid w:val="006C1C60"/>
    <w:rsid w:val="006C1CBD"/>
    <w:rsid w:val="006C2358"/>
    <w:rsid w:val="006C2FDC"/>
    <w:rsid w:val="006C7830"/>
    <w:rsid w:val="006D0649"/>
    <w:rsid w:val="006D08B1"/>
    <w:rsid w:val="006D1673"/>
    <w:rsid w:val="006D5B7E"/>
    <w:rsid w:val="006E3661"/>
    <w:rsid w:val="006E4AAF"/>
    <w:rsid w:val="006E4E7C"/>
    <w:rsid w:val="006E683D"/>
    <w:rsid w:val="006E6B41"/>
    <w:rsid w:val="006F0971"/>
    <w:rsid w:val="006F130A"/>
    <w:rsid w:val="006F131C"/>
    <w:rsid w:val="006F3201"/>
    <w:rsid w:val="006F3284"/>
    <w:rsid w:val="006F5819"/>
    <w:rsid w:val="006F6507"/>
    <w:rsid w:val="006F6F7C"/>
    <w:rsid w:val="00702455"/>
    <w:rsid w:val="0070390D"/>
    <w:rsid w:val="00706C9D"/>
    <w:rsid w:val="0071115A"/>
    <w:rsid w:val="00711B3F"/>
    <w:rsid w:val="00713A91"/>
    <w:rsid w:val="00715518"/>
    <w:rsid w:val="00722E17"/>
    <w:rsid w:val="00723C51"/>
    <w:rsid w:val="007258A9"/>
    <w:rsid w:val="0072709D"/>
    <w:rsid w:val="0072773C"/>
    <w:rsid w:val="00730C7A"/>
    <w:rsid w:val="0073247F"/>
    <w:rsid w:val="00734DD3"/>
    <w:rsid w:val="00736448"/>
    <w:rsid w:val="007365E2"/>
    <w:rsid w:val="00743B68"/>
    <w:rsid w:val="00747557"/>
    <w:rsid w:val="00747E33"/>
    <w:rsid w:val="00751224"/>
    <w:rsid w:val="00751292"/>
    <w:rsid w:val="0075183F"/>
    <w:rsid w:val="00751D87"/>
    <w:rsid w:val="0075498C"/>
    <w:rsid w:val="00754D32"/>
    <w:rsid w:val="00756D4F"/>
    <w:rsid w:val="00756F66"/>
    <w:rsid w:val="00760322"/>
    <w:rsid w:val="0076106B"/>
    <w:rsid w:val="00761224"/>
    <w:rsid w:val="00771A77"/>
    <w:rsid w:val="00774752"/>
    <w:rsid w:val="00776632"/>
    <w:rsid w:val="007768A8"/>
    <w:rsid w:val="007806CD"/>
    <w:rsid w:val="00780E43"/>
    <w:rsid w:val="007850CA"/>
    <w:rsid w:val="00790E1F"/>
    <w:rsid w:val="00794F01"/>
    <w:rsid w:val="00795695"/>
    <w:rsid w:val="00795824"/>
    <w:rsid w:val="007A09C1"/>
    <w:rsid w:val="007A1486"/>
    <w:rsid w:val="007A1FB3"/>
    <w:rsid w:val="007A32D3"/>
    <w:rsid w:val="007A3755"/>
    <w:rsid w:val="007A3978"/>
    <w:rsid w:val="007A3FFD"/>
    <w:rsid w:val="007A587D"/>
    <w:rsid w:val="007A5D8A"/>
    <w:rsid w:val="007A653E"/>
    <w:rsid w:val="007A73FF"/>
    <w:rsid w:val="007B060A"/>
    <w:rsid w:val="007B2122"/>
    <w:rsid w:val="007B26B9"/>
    <w:rsid w:val="007B6380"/>
    <w:rsid w:val="007B65A1"/>
    <w:rsid w:val="007B7FCF"/>
    <w:rsid w:val="007C0479"/>
    <w:rsid w:val="007C269C"/>
    <w:rsid w:val="007C50A5"/>
    <w:rsid w:val="007D082E"/>
    <w:rsid w:val="007D0C4C"/>
    <w:rsid w:val="007D1ECC"/>
    <w:rsid w:val="007D2526"/>
    <w:rsid w:val="007D2F80"/>
    <w:rsid w:val="007D436B"/>
    <w:rsid w:val="007D6BC5"/>
    <w:rsid w:val="007D6EC4"/>
    <w:rsid w:val="007E120D"/>
    <w:rsid w:val="007E2013"/>
    <w:rsid w:val="007E2900"/>
    <w:rsid w:val="007E2B80"/>
    <w:rsid w:val="007E3668"/>
    <w:rsid w:val="007E640C"/>
    <w:rsid w:val="007E741A"/>
    <w:rsid w:val="007F3F51"/>
    <w:rsid w:val="007F5FDA"/>
    <w:rsid w:val="007F7F49"/>
    <w:rsid w:val="008018AD"/>
    <w:rsid w:val="0080658E"/>
    <w:rsid w:val="008116BC"/>
    <w:rsid w:val="0081251A"/>
    <w:rsid w:val="0081347E"/>
    <w:rsid w:val="008150A8"/>
    <w:rsid w:val="0081524C"/>
    <w:rsid w:val="00817627"/>
    <w:rsid w:val="00822473"/>
    <w:rsid w:val="0082462F"/>
    <w:rsid w:val="00824DB9"/>
    <w:rsid w:val="00824DCE"/>
    <w:rsid w:val="00825F19"/>
    <w:rsid w:val="00833DB4"/>
    <w:rsid w:val="008369B8"/>
    <w:rsid w:val="008414CF"/>
    <w:rsid w:val="00842ED7"/>
    <w:rsid w:val="00843FF6"/>
    <w:rsid w:val="00845448"/>
    <w:rsid w:val="008461E1"/>
    <w:rsid w:val="00850229"/>
    <w:rsid w:val="00852A9E"/>
    <w:rsid w:val="00853AB2"/>
    <w:rsid w:val="00854601"/>
    <w:rsid w:val="00854784"/>
    <w:rsid w:val="00854A81"/>
    <w:rsid w:val="00854BD2"/>
    <w:rsid w:val="00855356"/>
    <w:rsid w:val="008553CC"/>
    <w:rsid w:val="008602E1"/>
    <w:rsid w:val="00860755"/>
    <w:rsid w:val="00860B0D"/>
    <w:rsid w:val="00862A23"/>
    <w:rsid w:val="0086309C"/>
    <w:rsid w:val="008641A6"/>
    <w:rsid w:val="00864A9B"/>
    <w:rsid w:val="00865E70"/>
    <w:rsid w:val="00866752"/>
    <w:rsid w:val="00867996"/>
    <w:rsid w:val="00871A01"/>
    <w:rsid w:val="00881281"/>
    <w:rsid w:val="00881EFC"/>
    <w:rsid w:val="008866BA"/>
    <w:rsid w:val="00886E14"/>
    <w:rsid w:val="0088737A"/>
    <w:rsid w:val="008875D0"/>
    <w:rsid w:val="00890169"/>
    <w:rsid w:val="0089093C"/>
    <w:rsid w:val="0089399E"/>
    <w:rsid w:val="00893ED0"/>
    <w:rsid w:val="00896832"/>
    <w:rsid w:val="008A0079"/>
    <w:rsid w:val="008A2064"/>
    <w:rsid w:val="008A3519"/>
    <w:rsid w:val="008A5B7B"/>
    <w:rsid w:val="008A63C9"/>
    <w:rsid w:val="008A6F20"/>
    <w:rsid w:val="008B0BAE"/>
    <w:rsid w:val="008B1329"/>
    <w:rsid w:val="008B5183"/>
    <w:rsid w:val="008B6EC2"/>
    <w:rsid w:val="008C2720"/>
    <w:rsid w:val="008C2A9F"/>
    <w:rsid w:val="008C37CC"/>
    <w:rsid w:val="008C6857"/>
    <w:rsid w:val="008D1094"/>
    <w:rsid w:val="008D2C3D"/>
    <w:rsid w:val="008D4EA6"/>
    <w:rsid w:val="008D609A"/>
    <w:rsid w:val="008D6EF0"/>
    <w:rsid w:val="008E1D6C"/>
    <w:rsid w:val="008E242B"/>
    <w:rsid w:val="008E2A57"/>
    <w:rsid w:val="008E5281"/>
    <w:rsid w:val="008E7CC7"/>
    <w:rsid w:val="008F26D8"/>
    <w:rsid w:val="008F2DB1"/>
    <w:rsid w:val="008F3E3F"/>
    <w:rsid w:val="008F514D"/>
    <w:rsid w:val="0090148D"/>
    <w:rsid w:val="00913FC2"/>
    <w:rsid w:val="0091411A"/>
    <w:rsid w:val="00915E85"/>
    <w:rsid w:val="00915F39"/>
    <w:rsid w:val="009162D3"/>
    <w:rsid w:val="009171DB"/>
    <w:rsid w:val="00925172"/>
    <w:rsid w:val="009259E4"/>
    <w:rsid w:val="00926A9E"/>
    <w:rsid w:val="00930CC4"/>
    <w:rsid w:val="009316F1"/>
    <w:rsid w:val="009317B1"/>
    <w:rsid w:val="009326CF"/>
    <w:rsid w:val="00933228"/>
    <w:rsid w:val="00940C1A"/>
    <w:rsid w:val="0094153C"/>
    <w:rsid w:val="00945071"/>
    <w:rsid w:val="0094776D"/>
    <w:rsid w:val="009478D4"/>
    <w:rsid w:val="00950DF0"/>
    <w:rsid w:val="00951C8A"/>
    <w:rsid w:val="00952101"/>
    <w:rsid w:val="00954E5F"/>
    <w:rsid w:val="00954E8D"/>
    <w:rsid w:val="00954EA9"/>
    <w:rsid w:val="0095505B"/>
    <w:rsid w:val="009567EE"/>
    <w:rsid w:val="00961495"/>
    <w:rsid w:val="00964D05"/>
    <w:rsid w:val="009659A5"/>
    <w:rsid w:val="00970113"/>
    <w:rsid w:val="0097071F"/>
    <w:rsid w:val="00971E5B"/>
    <w:rsid w:val="00972889"/>
    <w:rsid w:val="00973B6D"/>
    <w:rsid w:val="009741D0"/>
    <w:rsid w:val="00982A07"/>
    <w:rsid w:val="00982A62"/>
    <w:rsid w:val="00983317"/>
    <w:rsid w:val="00983CDA"/>
    <w:rsid w:val="00985540"/>
    <w:rsid w:val="0098757D"/>
    <w:rsid w:val="00987B48"/>
    <w:rsid w:val="00990257"/>
    <w:rsid w:val="00992822"/>
    <w:rsid w:val="00994B3B"/>
    <w:rsid w:val="00997530"/>
    <w:rsid w:val="00997BF0"/>
    <w:rsid w:val="009A0BAA"/>
    <w:rsid w:val="009A3756"/>
    <w:rsid w:val="009A609E"/>
    <w:rsid w:val="009B1CAA"/>
    <w:rsid w:val="009B403F"/>
    <w:rsid w:val="009C0447"/>
    <w:rsid w:val="009C1523"/>
    <w:rsid w:val="009C1A09"/>
    <w:rsid w:val="009C49C7"/>
    <w:rsid w:val="009C632C"/>
    <w:rsid w:val="009C701F"/>
    <w:rsid w:val="009D103D"/>
    <w:rsid w:val="009D15AD"/>
    <w:rsid w:val="009D3588"/>
    <w:rsid w:val="009D36F1"/>
    <w:rsid w:val="009D4EF2"/>
    <w:rsid w:val="009D7032"/>
    <w:rsid w:val="009D7ABF"/>
    <w:rsid w:val="009E01D8"/>
    <w:rsid w:val="009E3FDF"/>
    <w:rsid w:val="009E442F"/>
    <w:rsid w:val="009E495A"/>
    <w:rsid w:val="009E4E05"/>
    <w:rsid w:val="009E4F11"/>
    <w:rsid w:val="009E64D3"/>
    <w:rsid w:val="009E7FBD"/>
    <w:rsid w:val="009F0837"/>
    <w:rsid w:val="009F1B94"/>
    <w:rsid w:val="009F4C5F"/>
    <w:rsid w:val="009F4D15"/>
    <w:rsid w:val="009F735E"/>
    <w:rsid w:val="00A00EED"/>
    <w:rsid w:val="00A0313A"/>
    <w:rsid w:val="00A04039"/>
    <w:rsid w:val="00A04730"/>
    <w:rsid w:val="00A07B41"/>
    <w:rsid w:val="00A11884"/>
    <w:rsid w:val="00A11CF9"/>
    <w:rsid w:val="00A13CEE"/>
    <w:rsid w:val="00A1489B"/>
    <w:rsid w:val="00A1796C"/>
    <w:rsid w:val="00A20A15"/>
    <w:rsid w:val="00A2161B"/>
    <w:rsid w:val="00A23E62"/>
    <w:rsid w:val="00A24800"/>
    <w:rsid w:val="00A308A9"/>
    <w:rsid w:val="00A308B8"/>
    <w:rsid w:val="00A31261"/>
    <w:rsid w:val="00A318C0"/>
    <w:rsid w:val="00A3263E"/>
    <w:rsid w:val="00A33D50"/>
    <w:rsid w:val="00A35653"/>
    <w:rsid w:val="00A358DF"/>
    <w:rsid w:val="00A36803"/>
    <w:rsid w:val="00A36859"/>
    <w:rsid w:val="00A373D6"/>
    <w:rsid w:val="00A37A19"/>
    <w:rsid w:val="00A41F28"/>
    <w:rsid w:val="00A42D7D"/>
    <w:rsid w:val="00A43B6F"/>
    <w:rsid w:val="00A50AAF"/>
    <w:rsid w:val="00A5146C"/>
    <w:rsid w:val="00A520C4"/>
    <w:rsid w:val="00A52104"/>
    <w:rsid w:val="00A5214B"/>
    <w:rsid w:val="00A52639"/>
    <w:rsid w:val="00A53256"/>
    <w:rsid w:val="00A568FB"/>
    <w:rsid w:val="00A607A9"/>
    <w:rsid w:val="00A61769"/>
    <w:rsid w:val="00A617C8"/>
    <w:rsid w:val="00A665EA"/>
    <w:rsid w:val="00A67069"/>
    <w:rsid w:val="00A675E2"/>
    <w:rsid w:val="00A74B15"/>
    <w:rsid w:val="00A75546"/>
    <w:rsid w:val="00A759CF"/>
    <w:rsid w:val="00A77D69"/>
    <w:rsid w:val="00A77E75"/>
    <w:rsid w:val="00A8019D"/>
    <w:rsid w:val="00A864B5"/>
    <w:rsid w:val="00A86AE7"/>
    <w:rsid w:val="00A90498"/>
    <w:rsid w:val="00A908A4"/>
    <w:rsid w:val="00A91071"/>
    <w:rsid w:val="00A91423"/>
    <w:rsid w:val="00A92189"/>
    <w:rsid w:val="00A92D13"/>
    <w:rsid w:val="00A935E4"/>
    <w:rsid w:val="00A93D7C"/>
    <w:rsid w:val="00A960B1"/>
    <w:rsid w:val="00A971E8"/>
    <w:rsid w:val="00A975FC"/>
    <w:rsid w:val="00AA0392"/>
    <w:rsid w:val="00AA0399"/>
    <w:rsid w:val="00AA12F0"/>
    <w:rsid w:val="00AA142D"/>
    <w:rsid w:val="00AA16B5"/>
    <w:rsid w:val="00AA5DBF"/>
    <w:rsid w:val="00AA68CC"/>
    <w:rsid w:val="00AA6DF2"/>
    <w:rsid w:val="00AA719F"/>
    <w:rsid w:val="00AB47F3"/>
    <w:rsid w:val="00AB52B6"/>
    <w:rsid w:val="00AC07EA"/>
    <w:rsid w:val="00AC5036"/>
    <w:rsid w:val="00AC5388"/>
    <w:rsid w:val="00AC5A2E"/>
    <w:rsid w:val="00AC5A34"/>
    <w:rsid w:val="00AD0D12"/>
    <w:rsid w:val="00AD1217"/>
    <w:rsid w:val="00AD2A61"/>
    <w:rsid w:val="00AD350C"/>
    <w:rsid w:val="00AD3D35"/>
    <w:rsid w:val="00AD5BB0"/>
    <w:rsid w:val="00AD5D86"/>
    <w:rsid w:val="00AE01F4"/>
    <w:rsid w:val="00AE2321"/>
    <w:rsid w:val="00AE23BE"/>
    <w:rsid w:val="00AE7799"/>
    <w:rsid w:val="00AF0CF6"/>
    <w:rsid w:val="00AF2D53"/>
    <w:rsid w:val="00AF2E58"/>
    <w:rsid w:val="00AF3CAF"/>
    <w:rsid w:val="00AF3D5B"/>
    <w:rsid w:val="00AF7E48"/>
    <w:rsid w:val="00B03D34"/>
    <w:rsid w:val="00B06E7D"/>
    <w:rsid w:val="00B06E85"/>
    <w:rsid w:val="00B112EF"/>
    <w:rsid w:val="00B13152"/>
    <w:rsid w:val="00B13A05"/>
    <w:rsid w:val="00B14C0A"/>
    <w:rsid w:val="00B151F3"/>
    <w:rsid w:val="00B16B80"/>
    <w:rsid w:val="00B201E5"/>
    <w:rsid w:val="00B205A3"/>
    <w:rsid w:val="00B20773"/>
    <w:rsid w:val="00B20BAD"/>
    <w:rsid w:val="00B21E0B"/>
    <w:rsid w:val="00B22DCA"/>
    <w:rsid w:val="00B23F35"/>
    <w:rsid w:val="00B30377"/>
    <w:rsid w:val="00B33B57"/>
    <w:rsid w:val="00B35AB8"/>
    <w:rsid w:val="00B413C1"/>
    <w:rsid w:val="00B417A3"/>
    <w:rsid w:val="00B41B0D"/>
    <w:rsid w:val="00B4387B"/>
    <w:rsid w:val="00B43BAE"/>
    <w:rsid w:val="00B500FA"/>
    <w:rsid w:val="00B530F5"/>
    <w:rsid w:val="00B56E1E"/>
    <w:rsid w:val="00B56EEE"/>
    <w:rsid w:val="00B572F1"/>
    <w:rsid w:val="00B605BE"/>
    <w:rsid w:val="00B60762"/>
    <w:rsid w:val="00B63258"/>
    <w:rsid w:val="00B64678"/>
    <w:rsid w:val="00B67EDD"/>
    <w:rsid w:val="00B70036"/>
    <w:rsid w:val="00B73211"/>
    <w:rsid w:val="00B73F23"/>
    <w:rsid w:val="00B744CE"/>
    <w:rsid w:val="00B74FA6"/>
    <w:rsid w:val="00B75A45"/>
    <w:rsid w:val="00B8038E"/>
    <w:rsid w:val="00B82588"/>
    <w:rsid w:val="00B84E0C"/>
    <w:rsid w:val="00B85486"/>
    <w:rsid w:val="00B87265"/>
    <w:rsid w:val="00B9016A"/>
    <w:rsid w:val="00B91F9E"/>
    <w:rsid w:val="00B9257C"/>
    <w:rsid w:val="00B92F6C"/>
    <w:rsid w:val="00B9370D"/>
    <w:rsid w:val="00B93995"/>
    <w:rsid w:val="00B94ACE"/>
    <w:rsid w:val="00B94FA1"/>
    <w:rsid w:val="00B95CA3"/>
    <w:rsid w:val="00B96CBF"/>
    <w:rsid w:val="00BA0005"/>
    <w:rsid w:val="00BA0422"/>
    <w:rsid w:val="00BA255F"/>
    <w:rsid w:val="00BA77DB"/>
    <w:rsid w:val="00BB1A04"/>
    <w:rsid w:val="00BB3667"/>
    <w:rsid w:val="00BB49E8"/>
    <w:rsid w:val="00BB5885"/>
    <w:rsid w:val="00BB596E"/>
    <w:rsid w:val="00BB628B"/>
    <w:rsid w:val="00BC5237"/>
    <w:rsid w:val="00BC5443"/>
    <w:rsid w:val="00BC6E6F"/>
    <w:rsid w:val="00BC7F45"/>
    <w:rsid w:val="00BD0803"/>
    <w:rsid w:val="00BD45E0"/>
    <w:rsid w:val="00BD4659"/>
    <w:rsid w:val="00BD5637"/>
    <w:rsid w:val="00BE28E1"/>
    <w:rsid w:val="00BE38EA"/>
    <w:rsid w:val="00BE4E58"/>
    <w:rsid w:val="00BF1298"/>
    <w:rsid w:val="00BF24CB"/>
    <w:rsid w:val="00BF3A2C"/>
    <w:rsid w:val="00BF4773"/>
    <w:rsid w:val="00C000CD"/>
    <w:rsid w:val="00C009E6"/>
    <w:rsid w:val="00C0334A"/>
    <w:rsid w:val="00C05264"/>
    <w:rsid w:val="00C05290"/>
    <w:rsid w:val="00C067CF"/>
    <w:rsid w:val="00C07D23"/>
    <w:rsid w:val="00C12AC6"/>
    <w:rsid w:val="00C1306E"/>
    <w:rsid w:val="00C13454"/>
    <w:rsid w:val="00C17564"/>
    <w:rsid w:val="00C20702"/>
    <w:rsid w:val="00C20DF4"/>
    <w:rsid w:val="00C214DE"/>
    <w:rsid w:val="00C22BAC"/>
    <w:rsid w:val="00C22DF2"/>
    <w:rsid w:val="00C24653"/>
    <w:rsid w:val="00C25595"/>
    <w:rsid w:val="00C260C6"/>
    <w:rsid w:val="00C26FE6"/>
    <w:rsid w:val="00C275FC"/>
    <w:rsid w:val="00C30376"/>
    <w:rsid w:val="00C3312F"/>
    <w:rsid w:val="00C3453C"/>
    <w:rsid w:val="00C37378"/>
    <w:rsid w:val="00C40630"/>
    <w:rsid w:val="00C408F5"/>
    <w:rsid w:val="00C41D66"/>
    <w:rsid w:val="00C42CDD"/>
    <w:rsid w:val="00C43B3F"/>
    <w:rsid w:val="00C47891"/>
    <w:rsid w:val="00C50189"/>
    <w:rsid w:val="00C520B6"/>
    <w:rsid w:val="00C535BC"/>
    <w:rsid w:val="00C55700"/>
    <w:rsid w:val="00C56F54"/>
    <w:rsid w:val="00C57020"/>
    <w:rsid w:val="00C57054"/>
    <w:rsid w:val="00C624E1"/>
    <w:rsid w:val="00C62D4C"/>
    <w:rsid w:val="00C65A44"/>
    <w:rsid w:val="00C6689A"/>
    <w:rsid w:val="00C701D8"/>
    <w:rsid w:val="00C70729"/>
    <w:rsid w:val="00C7081F"/>
    <w:rsid w:val="00C713D3"/>
    <w:rsid w:val="00C73B4B"/>
    <w:rsid w:val="00C73C83"/>
    <w:rsid w:val="00C75C45"/>
    <w:rsid w:val="00C77A9D"/>
    <w:rsid w:val="00C807BF"/>
    <w:rsid w:val="00C850B8"/>
    <w:rsid w:val="00C87B59"/>
    <w:rsid w:val="00C91572"/>
    <w:rsid w:val="00C92A86"/>
    <w:rsid w:val="00C93FA3"/>
    <w:rsid w:val="00C940A4"/>
    <w:rsid w:val="00C94ED7"/>
    <w:rsid w:val="00CA11CF"/>
    <w:rsid w:val="00CA12B3"/>
    <w:rsid w:val="00CA2978"/>
    <w:rsid w:val="00CA2D91"/>
    <w:rsid w:val="00CA3C78"/>
    <w:rsid w:val="00CA4CEB"/>
    <w:rsid w:val="00CA7518"/>
    <w:rsid w:val="00CB5BD4"/>
    <w:rsid w:val="00CC2084"/>
    <w:rsid w:val="00CC455E"/>
    <w:rsid w:val="00CC6D18"/>
    <w:rsid w:val="00CD0AB5"/>
    <w:rsid w:val="00CD0C13"/>
    <w:rsid w:val="00CD2056"/>
    <w:rsid w:val="00CD44A9"/>
    <w:rsid w:val="00CD6B55"/>
    <w:rsid w:val="00CD6BE7"/>
    <w:rsid w:val="00CE0593"/>
    <w:rsid w:val="00CE0E98"/>
    <w:rsid w:val="00CE1324"/>
    <w:rsid w:val="00CE2BE6"/>
    <w:rsid w:val="00CE34A7"/>
    <w:rsid w:val="00CE4896"/>
    <w:rsid w:val="00CE4CA2"/>
    <w:rsid w:val="00CE5E83"/>
    <w:rsid w:val="00CE6A04"/>
    <w:rsid w:val="00CE71C0"/>
    <w:rsid w:val="00CF09C0"/>
    <w:rsid w:val="00CF357B"/>
    <w:rsid w:val="00CF3891"/>
    <w:rsid w:val="00CF4E5C"/>
    <w:rsid w:val="00CF6479"/>
    <w:rsid w:val="00CF75B0"/>
    <w:rsid w:val="00D017E7"/>
    <w:rsid w:val="00D01863"/>
    <w:rsid w:val="00D01DC3"/>
    <w:rsid w:val="00D03078"/>
    <w:rsid w:val="00D03FAA"/>
    <w:rsid w:val="00D04DE5"/>
    <w:rsid w:val="00D06DD8"/>
    <w:rsid w:val="00D07792"/>
    <w:rsid w:val="00D07A27"/>
    <w:rsid w:val="00D07B33"/>
    <w:rsid w:val="00D112EA"/>
    <w:rsid w:val="00D11C17"/>
    <w:rsid w:val="00D12988"/>
    <w:rsid w:val="00D12C12"/>
    <w:rsid w:val="00D13232"/>
    <w:rsid w:val="00D136DE"/>
    <w:rsid w:val="00D142F9"/>
    <w:rsid w:val="00D147B9"/>
    <w:rsid w:val="00D15BBB"/>
    <w:rsid w:val="00D179DA"/>
    <w:rsid w:val="00D17E2A"/>
    <w:rsid w:val="00D21F66"/>
    <w:rsid w:val="00D27173"/>
    <w:rsid w:val="00D27362"/>
    <w:rsid w:val="00D275AC"/>
    <w:rsid w:val="00D30758"/>
    <w:rsid w:val="00D30FEF"/>
    <w:rsid w:val="00D3117D"/>
    <w:rsid w:val="00D4104A"/>
    <w:rsid w:val="00D41564"/>
    <w:rsid w:val="00D42446"/>
    <w:rsid w:val="00D44CCE"/>
    <w:rsid w:val="00D45B2F"/>
    <w:rsid w:val="00D46CFF"/>
    <w:rsid w:val="00D47FDF"/>
    <w:rsid w:val="00D5059B"/>
    <w:rsid w:val="00D514CB"/>
    <w:rsid w:val="00D528FE"/>
    <w:rsid w:val="00D54B8F"/>
    <w:rsid w:val="00D573DB"/>
    <w:rsid w:val="00D60D4C"/>
    <w:rsid w:val="00D61992"/>
    <w:rsid w:val="00D64438"/>
    <w:rsid w:val="00D66255"/>
    <w:rsid w:val="00D66ABA"/>
    <w:rsid w:val="00D73FA2"/>
    <w:rsid w:val="00D74F14"/>
    <w:rsid w:val="00D7611F"/>
    <w:rsid w:val="00D776EF"/>
    <w:rsid w:val="00D81E15"/>
    <w:rsid w:val="00D8248F"/>
    <w:rsid w:val="00D84CEB"/>
    <w:rsid w:val="00D859A7"/>
    <w:rsid w:val="00D86EDF"/>
    <w:rsid w:val="00D901FB"/>
    <w:rsid w:val="00D902C8"/>
    <w:rsid w:val="00D92A1E"/>
    <w:rsid w:val="00D92A4C"/>
    <w:rsid w:val="00D93721"/>
    <w:rsid w:val="00D95CE4"/>
    <w:rsid w:val="00D96A93"/>
    <w:rsid w:val="00D970B9"/>
    <w:rsid w:val="00D97891"/>
    <w:rsid w:val="00DA4F12"/>
    <w:rsid w:val="00DA586A"/>
    <w:rsid w:val="00DA5DC8"/>
    <w:rsid w:val="00DB06BD"/>
    <w:rsid w:val="00DB0E13"/>
    <w:rsid w:val="00DB1939"/>
    <w:rsid w:val="00DB2D5C"/>
    <w:rsid w:val="00DB2F0C"/>
    <w:rsid w:val="00DB55F4"/>
    <w:rsid w:val="00DB6683"/>
    <w:rsid w:val="00DB79F1"/>
    <w:rsid w:val="00DC05DF"/>
    <w:rsid w:val="00DC139A"/>
    <w:rsid w:val="00DC505A"/>
    <w:rsid w:val="00DC533E"/>
    <w:rsid w:val="00DC6BD9"/>
    <w:rsid w:val="00DC7E88"/>
    <w:rsid w:val="00DC7E8B"/>
    <w:rsid w:val="00DD0442"/>
    <w:rsid w:val="00DD0703"/>
    <w:rsid w:val="00DD205C"/>
    <w:rsid w:val="00DD3064"/>
    <w:rsid w:val="00DD3BAA"/>
    <w:rsid w:val="00DD4A11"/>
    <w:rsid w:val="00DD67A4"/>
    <w:rsid w:val="00DE0E01"/>
    <w:rsid w:val="00DE1306"/>
    <w:rsid w:val="00DE1BF4"/>
    <w:rsid w:val="00DE2FBA"/>
    <w:rsid w:val="00DE3911"/>
    <w:rsid w:val="00DE5E61"/>
    <w:rsid w:val="00DE64C5"/>
    <w:rsid w:val="00DE6D95"/>
    <w:rsid w:val="00DE7B3A"/>
    <w:rsid w:val="00DF106D"/>
    <w:rsid w:val="00DF31D8"/>
    <w:rsid w:val="00DF3DFE"/>
    <w:rsid w:val="00DF56B5"/>
    <w:rsid w:val="00DF64F4"/>
    <w:rsid w:val="00DF7BF6"/>
    <w:rsid w:val="00E02642"/>
    <w:rsid w:val="00E02957"/>
    <w:rsid w:val="00E0581F"/>
    <w:rsid w:val="00E0625F"/>
    <w:rsid w:val="00E077DF"/>
    <w:rsid w:val="00E13A50"/>
    <w:rsid w:val="00E1531C"/>
    <w:rsid w:val="00E15C70"/>
    <w:rsid w:val="00E1670D"/>
    <w:rsid w:val="00E210D4"/>
    <w:rsid w:val="00E21208"/>
    <w:rsid w:val="00E217D9"/>
    <w:rsid w:val="00E21C31"/>
    <w:rsid w:val="00E22E83"/>
    <w:rsid w:val="00E23464"/>
    <w:rsid w:val="00E305E3"/>
    <w:rsid w:val="00E3079F"/>
    <w:rsid w:val="00E30E29"/>
    <w:rsid w:val="00E3310D"/>
    <w:rsid w:val="00E35468"/>
    <w:rsid w:val="00E35B11"/>
    <w:rsid w:val="00E424F8"/>
    <w:rsid w:val="00E434B2"/>
    <w:rsid w:val="00E4358B"/>
    <w:rsid w:val="00E43D2B"/>
    <w:rsid w:val="00E45248"/>
    <w:rsid w:val="00E46DED"/>
    <w:rsid w:val="00E52DD2"/>
    <w:rsid w:val="00E559FB"/>
    <w:rsid w:val="00E57250"/>
    <w:rsid w:val="00E616CE"/>
    <w:rsid w:val="00E6245C"/>
    <w:rsid w:val="00E63439"/>
    <w:rsid w:val="00E74285"/>
    <w:rsid w:val="00E758EC"/>
    <w:rsid w:val="00E75E86"/>
    <w:rsid w:val="00E8201B"/>
    <w:rsid w:val="00E846BB"/>
    <w:rsid w:val="00E857F5"/>
    <w:rsid w:val="00E858A9"/>
    <w:rsid w:val="00E85F74"/>
    <w:rsid w:val="00E86C60"/>
    <w:rsid w:val="00E90252"/>
    <w:rsid w:val="00E91CB7"/>
    <w:rsid w:val="00E91FFF"/>
    <w:rsid w:val="00E92C31"/>
    <w:rsid w:val="00E96F05"/>
    <w:rsid w:val="00E9714D"/>
    <w:rsid w:val="00E9721D"/>
    <w:rsid w:val="00E97C3F"/>
    <w:rsid w:val="00EA193E"/>
    <w:rsid w:val="00EA3D76"/>
    <w:rsid w:val="00EA4C03"/>
    <w:rsid w:val="00EB1B46"/>
    <w:rsid w:val="00EB1CEA"/>
    <w:rsid w:val="00EB1DB5"/>
    <w:rsid w:val="00EB28A2"/>
    <w:rsid w:val="00EB45EB"/>
    <w:rsid w:val="00EB5012"/>
    <w:rsid w:val="00EB516B"/>
    <w:rsid w:val="00EB5536"/>
    <w:rsid w:val="00EB5925"/>
    <w:rsid w:val="00EB6903"/>
    <w:rsid w:val="00EB7573"/>
    <w:rsid w:val="00EB77A8"/>
    <w:rsid w:val="00EB7B70"/>
    <w:rsid w:val="00EC1EC6"/>
    <w:rsid w:val="00EC2D21"/>
    <w:rsid w:val="00EC2D31"/>
    <w:rsid w:val="00EC5F62"/>
    <w:rsid w:val="00EC6D78"/>
    <w:rsid w:val="00ED0150"/>
    <w:rsid w:val="00ED1F85"/>
    <w:rsid w:val="00ED59F8"/>
    <w:rsid w:val="00EE07FE"/>
    <w:rsid w:val="00EE128C"/>
    <w:rsid w:val="00EE46CC"/>
    <w:rsid w:val="00EE4BA4"/>
    <w:rsid w:val="00EE4C80"/>
    <w:rsid w:val="00EE4F8B"/>
    <w:rsid w:val="00EE6928"/>
    <w:rsid w:val="00EE717C"/>
    <w:rsid w:val="00EE7C66"/>
    <w:rsid w:val="00EF0E7E"/>
    <w:rsid w:val="00EF2828"/>
    <w:rsid w:val="00EF3DD8"/>
    <w:rsid w:val="00EF5696"/>
    <w:rsid w:val="00F00103"/>
    <w:rsid w:val="00F012EB"/>
    <w:rsid w:val="00F02C3D"/>
    <w:rsid w:val="00F03571"/>
    <w:rsid w:val="00F04F61"/>
    <w:rsid w:val="00F069B6"/>
    <w:rsid w:val="00F1031C"/>
    <w:rsid w:val="00F104EF"/>
    <w:rsid w:val="00F11748"/>
    <w:rsid w:val="00F127DE"/>
    <w:rsid w:val="00F140BE"/>
    <w:rsid w:val="00F14BC7"/>
    <w:rsid w:val="00F1775F"/>
    <w:rsid w:val="00F21A78"/>
    <w:rsid w:val="00F21E26"/>
    <w:rsid w:val="00F2299E"/>
    <w:rsid w:val="00F23722"/>
    <w:rsid w:val="00F25677"/>
    <w:rsid w:val="00F31728"/>
    <w:rsid w:val="00F3284F"/>
    <w:rsid w:val="00F333F7"/>
    <w:rsid w:val="00F33606"/>
    <w:rsid w:val="00F36B99"/>
    <w:rsid w:val="00F37904"/>
    <w:rsid w:val="00F40A30"/>
    <w:rsid w:val="00F40FF7"/>
    <w:rsid w:val="00F41583"/>
    <w:rsid w:val="00F423F0"/>
    <w:rsid w:val="00F425C4"/>
    <w:rsid w:val="00F463C5"/>
    <w:rsid w:val="00F47C18"/>
    <w:rsid w:val="00F50D12"/>
    <w:rsid w:val="00F5132B"/>
    <w:rsid w:val="00F5306B"/>
    <w:rsid w:val="00F54D86"/>
    <w:rsid w:val="00F55E49"/>
    <w:rsid w:val="00F60765"/>
    <w:rsid w:val="00F60B69"/>
    <w:rsid w:val="00F6369A"/>
    <w:rsid w:val="00F63912"/>
    <w:rsid w:val="00F66164"/>
    <w:rsid w:val="00F66E5E"/>
    <w:rsid w:val="00F709BA"/>
    <w:rsid w:val="00F7170B"/>
    <w:rsid w:val="00F7191B"/>
    <w:rsid w:val="00F71A61"/>
    <w:rsid w:val="00F76C78"/>
    <w:rsid w:val="00F77505"/>
    <w:rsid w:val="00F802B1"/>
    <w:rsid w:val="00F80ECD"/>
    <w:rsid w:val="00F820C6"/>
    <w:rsid w:val="00F845F2"/>
    <w:rsid w:val="00F85994"/>
    <w:rsid w:val="00F870A6"/>
    <w:rsid w:val="00F90EF7"/>
    <w:rsid w:val="00F9343C"/>
    <w:rsid w:val="00F93932"/>
    <w:rsid w:val="00F93AA4"/>
    <w:rsid w:val="00F958CB"/>
    <w:rsid w:val="00FA4211"/>
    <w:rsid w:val="00FA7D98"/>
    <w:rsid w:val="00FB076C"/>
    <w:rsid w:val="00FB1B39"/>
    <w:rsid w:val="00FB3E54"/>
    <w:rsid w:val="00FB4C32"/>
    <w:rsid w:val="00FC2F99"/>
    <w:rsid w:val="00FC6CB0"/>
    <w:rsid w:val="00FD055E"/>
    <w:rsid w:val="00FD3DD4"/>
    <w:rsid w:val="00FD5358"/>
    <w:rsid w:val="00FD5C44"/>
    <w:rsid w:val="00FD690F"/>
    <w:rsid w:val="00FE0EAB"/>
    <w:rsid w:val="00FE2829"/>
    <w:rsid w:val="00FE698F"/>
    <w:rsid w:val="00FE7906"/>
    <w:rsid w:val="00FE7D46"/>
    <w:rsid w:val="00FF10DC"/>
    <w:rsid w:val="00FF2125"/>
    <w:rsid w:val="00FF2230"/>
    <w:rsid w:val="00FF2515"/>
    <w:rsid w:val="00FF45D1"/>
    <w:rsid w:val="00FF6280"/>
    <w:rsid w:val="01263A2C"/>
    <w:rsid w:val="012E4F07"/>
    <w:rsid w:val="0138166C"/>
    <w:rsid w:val="016D0A1C"/>
    <w:rsid w:val="017265F0"/>
    <w:rsid w:val="01971CF0"/>
    <w:rsid w:val="019E23BA"/>
    <w:rsid w:val="019F1EE9"/>
    <w:rsid w:val="02005B8D"/>
    <w:rsid w:val="02034DAC"/>
    <w:rsid w:val="020B026E"/>
    <w:rsid w:val="02980103"/>
    <w:rsid w:val="029935A5"/>
    <w:rsid w:val="02AC7F18"/>
    <w:rsid w:val="036335C9"/>
    <w:rsid w:val="036A139E"/>
    <w:rsid w:val="039D6CCE"/>
    <w:rsid w:val="03A90DF9"/>
    <w:rsid w:val="03EB1228"/>
    <w:rsid w:val="04335BA6"/>
    <w:rsid w:val="045D1DEA"/>
    <w:rsid w:val="04961099"/>
    <w:rsid w:val="04A647CA"/>
    <w:rsid w:val="050B3C08"/>
    <w:rsid w:val="051349BA"/>
    <w:rsid w:val="051D0E1A"/>
    <w:rsid w:val="053D653C"/>
    <w:rsid w:val="05637BBD"/>
    <w:rsid w:val="05C91C24"/>
    <w:rsid w:val="061A1CD4"/>
    <w:rsid w:val="0654571F"/>
    <w:rsid w:val="0691331F"/>
    <w:rsid w:val="06C00526"/>
    <w:rsid w:val="07280C98"/>
    <w:rsid w:val="074C6B42"/>
    <w:rsid w:val="074D125C"/>
    <w:rsid w:val="076106F3"/>
    <w:rsid w:val="077616B7"/>
    <w:rsid w:val="07D215AA"/>
    <w:rsid w:val="07E279C1"/>
    <w:rsid w:val="07FC0A77"/>
    <w:rsid w:val="0832007D"/>
    <w:rsid w:val="084C3D98"/>
    <w:rsid w:val="087C729A"/>
    <w:rsid w:val="089C7168"/>
    <w:rsid w:val="08CD7790"/>
    <w:rsid w:val="08F9138C"/>
    <w:rsid w:val="09270006"/>
    <w:rsid w:val="0928281B"/>
    <w:rsid w:val="09395E59"/>
    <w:rsid w:val="096D58B6"/>
    <w:rsid w:val="099A4980"/>
    <w:rsid w:val="0A122EBB"/>
    <w:rsid w:val="0A133EB1"/>
    <w:rsid w:val="0A1D10CD"/>
    <w:rsid w:val="0A342878"/>
    <w:rsid w:val="0A442448"/>
    <w:rsid w:val="0A686782"/>
    <w:rsid w:val="0A7956C6"/>
    <w:rsid w:val="0A9A5523"/>
    <w:rsid w:val="0ACD6B2F"/>
    <w:rsid w:val="0B181E89"/>
    <w:rsid w:val="0B1D1A5D"/>
    <w:rsid w:val="0B52745A"/>
    <w:rsid w:val="0B6149B5"/>
    <w:rsid w:val="0C020A64"/>
    <w:rsid w:val="0C2163A5"/>
    <w:rsid w:val="0C2401E2"/>
    <w:rsid w:val="0CD47769"/>
    <w:rsid w:val="0CE4790C"/>
    <w:rsid w:val="0D477956"/>
    <w:rsid w:val="0D6E7C6F"/>
    <w:rsid w:val="0D736A30"/>
    <w:rsid w:val="0DA936F5"/>
    <w:rsid w:val="0E5166AD"/>
    <w:rsid w:val="0E740CDE"/>
    <w:rsid w:val="0E784840"/>
    <w:rsid w:val="0E883889"/>
    <w:rsid w:val="0E8C114F"/>
    <w:rsid w:val="0EAF5233"/>
    <w:rsid w:val="0ED607A6"/>
    <w:rsid w:val="0EFC1C78"/>
    <w:rsid w:val="0F2B337B"/>
    <w:rsid w:val="0F2D56BB"/>
    <w:rsid w:val="0F6B689E"/>
    <w:rsid w:val="0F7746B3"/>
    <w:rsid w:val="0F7F1CC9"/>
    <w:rsid w:val="0F81794D"/>
    <w:rsid w:val="0F88015E"/>
    <w:rsid w:val="0F902901"/>
    <w:rsid w:val="0F9B1EB5"/>
    <w:rsid w:val="104B20A6"/>
    <w:rsid w:val="107941ED"/>
    <w:rsid w:val="10BE494D"/>
    <w:rsid w:val="10CA1018"/>
    <w:rsid w:val="110411F6"/>
    <w:rsid w:val="114B7350"/>
    <w:rsid w:val="119A5EFF"/>
    <w:rsid w:val="11A848C3"/>
    <w:rsid w:val="12471EF9"/>
    <w:rsid w:val="12CB77A0"/>
    <w:rsid w:val="12E04390"/>
    <w:rsid w:val="1319260B"/>
    <w:rsid w:val="13445B41"/>
    <w:rsid w:val="13482EF0"/>
    <w:rsid w:val="13540690"/>
    <w:rsid w:val="138E2473"/>
    <w:rsid w:val="13911B59"/>
    <w:rsid w:val="144529AC"/>
    <w:rsid w:val="146F644E"/>
    <w:rsid w:val="14761E85"/>
    <w:rsid w:val="14A36A1A"/>
    <w:rsid w:val="14CF382A"/>
    <w:rsid w:val="14F74E6E"/>
    <w:rsid w:val="14FD4E97"/>
    <w:rsid w:val="1507213C"/>
    <w:rsid w:val="150E379E"/>
    <w:rsid w:val="152D4517"/>
    <w:rsid w:val="15794785"/>
    <w:rsid w:val="15AD0B1A"/>
    <w:rsid w:val="15CA6D5B"/>
    <w:rsid w:val="15EF7C3A"/>
    <w:rsid w:val="15F812FC"/>
    <w:rsid w:val="15F86E50"/>
    <w:rsid w:val="160414A5"/>
    <w:rsid w:val="16D04823"/>
    <w:rsid w:val="170F65DE"/>
    <w:rsid w:val="17294C6D"/>
    <w:rsid w:val="175B2431"/>
    <w:rsid w:val="1773054F"/>
    <w:rsid w:val="177A639F"/>
    <w:rsid w:val="178A2914"/>
    <w:rsid w:val="179347E2"/>
    <w:rsid w:val="17A545B0"/>
    <w:rsid w:val="17DC0444"/>
    <w:rsid w:val="17EA0A1A"/>
    <w:rsid w:val="18010255"/>
    <w:rsid w:val="182B715C"/>
    <w:rsid w:val="18C644D0"/>
    <w:rsid w:val="19045E2C"/>
    <w:rsid w:val="19061883"/>
    <w:rsid w:val="191515FC"/>
    <w:rsid w:val="192E2E51"/>
    <w:rsid w:val="19347EA5"/>
    <w:rsid w:val="1937526D"/>
    <w:rsid w:val="19425C52"/>
    <w:rsid w:val="19516FA3"/>
    <w:rsid w:val="19760FDF"/>
    <w:rsid w:val="19B32B35"/>
    <w:rsid w:val="19D03D48"/>
    <w:rsid w:val="1A3B42EE"/>
    <w:rsid w:val="1A9E69DC"/>
    <w:rsid w:val="1AD15927"/>
    <w:rsid w:val="1B4F612D"/>
    <w:rsid w:val="1BCB052E"/>
    <w:rsid w:val="1C53664E"/>
    <w:rsid w:val="1CEE74FA"/>
    <w:rsid w:val="1D02496D"/>
    <w:rsid w:val="1D4C078A"/>
    <w:rsid w:val="1D575233"/>
    <w:rsid w:val="1D8145CD"/>
    <w:rsid w:val="1DBB1663"/>
    <w:rsid w:val="1DED4734"/>
    <w:rsid w:val="1DF71D87"/>
    <w:rsid w:val="1E0C3E89"/>
    <w:rsid w:val="1E275113"/>
    <w:rsid w:val="1E322958"/>
    <w:rsid w:val="1E6A545A"/>
    <w:rsid w:val="1EBF6C3C"/>
    <w:rsid w:val="1EE45788"/>
    <w:rsid w:val="1EFE53A8"/>
    <w:rsid w:val="1F241FAD"/>
    <w:rsid w:val="1F4F07C3"/>
    <w:rsid w:val="1F800A23"/>
    <w:rsid w:val="1F8F4B02"/>
    <w:rsid w:val="1FAF44CC"/>
    <w:rsid w:val="1FBA560A"/>
    <w:rsid w:val="1FF046B8"/>
    <w:rsid w:val="20803548"/>
    <w:rsid w:val="209F0B24"/>
    <w:rsid w:val="219F721F"/>
    <w:rsid w:val="21AF72F7"/>
    <w:rsid w:val="22475364"/>
    <w:rsid w:val="228A3377"/>
    <w:rsid w:val="228B0957"/>
    <w:rsid w:val="22AA244B"/>
    <w:rsid w:val="22B64134"/>
    <w:rsid w:val="22BF31CF"/>
    <w:rsid w:val="22C1534B"/>
    <w:rsid w:val="233936C0"/>
    <w:rsid w:val="23874518"/>
    <w:rsid w:val="23B6405F"/>
    <w:rsid w:val="23C8545D"/>
    <w:rsid w:val="24384DA3"/>
    <w:rsid w:val="24A005D3"/>
    <w:rsid w:val="24B149CF"/>
    <w:rsid w:val="25251BA1"/>
    <w:rsid w:val="253009BF"/>
    <w:rsid w:val="2568053A"/>
    <w:rsid w:val="25D6236C"/>
    <w:rsid w:val="25F74A2E"/>
    <w:rsid w:val="262D2F5D"/>
    <w:rsid w:val="26976211"/>
    <w:rsid w:val="26BC3F00"/>
    <w:rsid w:val="26CA4055"/>
    <w:rsid w:val="26D03C0F"/>
    <w:rsid w:val="26D15547"/>
    <w:rsid w:val="26E4668A"/>
    <w:rsid w:val="27293501"/>
    <w:rsid w:val="27395896"/>
    <w:rsid w:val="273A56BA"/>
    <w:rsid w:val="27671208"/>
    <w:rsid w:val="27C151DD"/>
    <w:rsid w:val="27E06DF4"/>
    <w:rsid w:val="280C6835"/>
    <w:rsid w:val="28172832"/>
    <w:rsid w:val="284116F9"/>
    <w:rsid w:val="28425F61"/>
    <w:rsid w:val="284475CD"/>
    <w:rsid w:val="284763EC"/>
    <w:rsid w:val="28910274"/>
    <w:rsid w:val="28D33F45"/>
    <w:rsid w:val="28DE2122"/>
    <w:rsid w:val="28E7774D"/>
    <w:rsid w:val="29035DCB"/>
    <w:rsid w:val="291D2A41"/>
    <w:rsid w:val="296B566F"/>
    <w:rsid w:val="29722707"/>
    <w:rsid w:val="297665B1"/>
    <w:rsid w:val="29A228C2"/>
    <w:rsid w:val="29C139E5"/>
    <w:rsid w:val="29C70AA4"/>
    <w:rsid w:val="29D8669C"/>
    <w:rsid w:val="2A0662EF"/>
    <w:rsid w:val="2A781EB5"/>
    <w:rsid w:val="2A962B83"/>
    <w:rsid w:val="2AC2690D"/>
    <w:rsid w:val="2B045946"/>
    <w:rsid w:val="2B8477C7"/>
    <w:rsid w:val="2B9B30A7"/>
    <w:rsid w:val="2BB92A91"/>
    <w:rsid w:val="2C9E7700"/>
    <w:rsid w:val="2CB23E91"/>
    <w:rsid w:val="2CC800EF"/>
    <w:rsid w:val="2CDD5C14"/>
    <w:rsid w:val="2CE949E2"/>
    <w:rsid w:val="2CE967F6"/>
    <w:rsid w:val="2D0F08AF"/>
    <w:rsid w:val="2D521ADC"/>
    <w:rsid w:val="2D5D3429"/>
    <w:rsid w:val="2D63071A"/>
    <w:rsid w:val="2DAA001B"/>
    <w:rsid w:val="2DE20E37"/>
    <w:rsid w:val="2DF3788D"/>
    <w:rsid w:val="2DFC3E12"/>
    <w:rsid w:val="2E0423DE"/>
    <w:rsid w:val="2E3F3B9C"/>
    <w:rsid w:val="2E46101B"/>
    <w:rsid w:val="2EA021D0"/>
    <w:rsid w:val="2ED41461"/>
    <w:rsid w:val="2EFD039F"/>
    <w:rsid w:val="2F68074A"/>
    <w:rsid w:val="2F944666"/>
    <w:rsid w:val="2FDD4770"/>
    <w:rsid w:val="2FDE15AB"/>
    <w:rsid w:val="2FF56EA1"/>
    <w:rsid w:val="301500D1"/>
    <w:rsid w:val="30434BAF"/>
    <w:rsid w:val="308A1BAC"/>
    <w:rsid w:val="30E205E6"/>
    <w:rsid w:val="30E346C2"/>
    <w:rsid w:val="31147CA5"/>
    <w:rsid w:val="314D5189"/>
    <w:rsid w:val="31A35C4C"/>
    <w:rsid w:val="31A7140F"/>
    <w:rsid w:val="31D66416"/>
    <w:rsid w:val="321248C0"/>
    <w:rsid w:val="326E7511"/>
    <w:rsid w:val="32CA2AE0"/>
    <w:rsid w:val="32E62189"/>
    <w:rsid w:val="32E83B7B"/>
    <w:rsid w:val="32FA71FE"/>
    <w:rsid w:val="33530EAD"/>
    <w:rsid w:val="335322AF"/>
    <w:rsid w:val="3356743A"/>
    <w:rsid w:val="33B44B5C"/>
    <w:rsid w:val="33E36AB5"/>
    <w:rsid w:val="343245FD"/>
    <w:rsid w:val="343E4E17"/>
    <w:rsid w:val="34420AA0"/>
    <w:rsid w:val="34531B45"/>
    <w:rsid w:val="34807E1E"/>
    <w:rsid w:val="34C1756C"/>
    <w:rsid w:val="34DD3ECE"/>
    <w:rsid w:val="351C7958"/>
    <w:rsid w:val="36230542"/>
    <w:rsid w:val="36681030"/>
    <w:rsid w:val="36800A85"/>
    <w:rsid w:val="368F154F"/>
    <w:rsid w:val="36CC3729"/>
    <w:rsid w:val="36D33CFA"/>
    <w:rsid w:val="36D63216"/>
    <w:rsid w:val="36E06005"/>
    <w:rsid w:val="36E37A47"/>
    <w:rsid w:val="36EC6046"/>
    <w:rsid w:val="36EF3C7C"/>
    <w:rsid w:val="36FB1856"/>
    <w:rsid w:val="372A0EFF"/>
    <w:rsid w:val="375D490D"/>
    <w:rsid w:val="37912239"/>
    <w:rsid w:val="37B3746F"/>
    <w:rsid w:val="37BD3569"/>
    <w:rsid w:val="38190C51"/>
    <w:rsid w:val="3831492A"/>
    <w:rsid w:val="38421A60"/>
    <w:rsid w:val="38440100"/>
    <w:rsid w:val="385C5799"/>
    <w:rsid w:val="386520DA"/>
    <w:rsid w:val="38A6168E"/>
    <w:rsid w:val="38CC7AA0"/>
    <w:rsid w:val="38E15505"/>
    <w:rsid w:val="3920255E"/>
    <w:rsid w:val="39262904"/>
    <w:rsid w:val="39333B77"/>
    <w:rsid w:val="393671C3"/>
    <w:rsid w:val="396822A7"/>
    <w:rsid w:val="39962685"/>
    <w:rsid w:val="39A25991"/>
    <w:rsid w:val="39E66419"/>
    <w:rsid w:val="3A1E6516"/>
    <w:rsid w:val="3A2A3C4B"/>
    <w:rsid w:val="3A4D1F69"/>
    <w:rsid w:val="3A4E5567"/>
    <w:rsid w:val="3A654DD6"/>
    <w:rsid w:val="3A704D5E"/>
    <w:rsid w:val="3A70748F"/>
    <w:rsid w:val="3AB67423"/>
    <w:rsid w:val="3AB75A8A"/>
    <w:rsid w:val="3AE5438C"/>
    <w:rsid w:val="3AE7524D"/>
    <w:rsid w:val="3B3B2D9B"/>
    <w:rsid w:val="3B56069C"/>
    <w:rsid w:val="3B753B07"/>
    <w:rsid w:val="3B876803"/>
    <w:rsid w:val="3BEF1E17"/>
    <w:rsid w:val="3C006DE0"/>
    <w:rsid w:val="3C0C1A22"/>
    <w:rsid w:val="3C12216A"/>
    <w:rsid w:val="3C344196"/>
    <w:rsid w:val="3C5013EF"/>
    <w:rsid w:val="3CFE4A99"/>
    <w:rsid w:val="3D135825"/>
    <w:rsid w:val="3D15135A"/>
    <w:rsid w:val="3D1C2BD2"/>
    <w:rsid w:val="3DAC4BF9"/>
    <w:rsid w:val="3DC46332"/>
    <w:rsid w:val="3DE975EA"/>
    <w:rsid w:val="3DF1587D"/>
    <w:rsid w:val="3E0739DB"/>
    <w:rsid w:val="3E0E7C40"/>
    <w:rsid w:val="3E391103"/>
    <w:rsid w:val="3ECF3A93"/>
    <w:rsid w:val="3F12031E"/>
    <w:rsid w:val="3F2179AA"/>
    <w:rsid w:val="3F431741"/>
    <w:rsid w:val="3F50051E"/>
    <w:rsid w:val="3FC42369"/>
    <w:rsid w:val="3FC95E86"/>
    <w:rsid w:val="3FCB5D9F"/>
    <w:rsid w:val="3FDB570D"/>
    <w:rsid w:val="3FE60357"/>
    <w:rsid w:val="3FF8675F"/>
    <w:rsid w:val="400B3FC9"/>
    <w:rsid w:val="401630B8"/>
    <w:rsid w:val="401851A3"/>
    <w:rsid w:val="403A3D45"/>
    <w:rsid w:val="409E52AC"/>
    <w:rsid w:val="40D608DA"/>
    <w:rsid w:val="40ED775A"/>
    <w:rsid w:val="41326E0A"/>
    <w:rsid w:val="41546636"/>
    <w:rsid w:val="41687438"/>
    <w:rsid w:val="41D44ECD"/>
    <w:rsid w:val="41FF0A9A"/>
    <w:rsid w:val="422C6C5C"/>
    <w:rsid w:val="42361520"/>
    <w:rsid w:val="42397053"/>
    <w:rsid w:val="42872183"/>
    <w:rsid w:val="43237E06"/>
    <w:rsid w:val="43804048"/>
    <w:rsid w:val="439F5CCF"/>
    <w:rsid w:val="43DB0F90"/>
    <w:rsid w:val="43FA684D"/>
    <w:rsid w:val="442A138F"/>
    <w:rsid w:val="442C61CB"/>
    <w:rsid w:val="444A6F8B"/>
    <w:rsid w:val="448500F0"/>
    <w:rsid w:val="44B506CA"/>
    <w:rsid w:val="44EA1F13"/>
    <w:rsid w:val="44F85C75"/>
    <w:rsid w:val="45274A38"/>
    <w:rsid w:val="454D2F1E"/>
    <w:rsid w:val="45847565"/>
    <w:rsid w:val="45884729"/>
    <w:rsid w:val="45B01126"/>
    <w:rsid w:val="45F3571E"/>
    <w:rsid w:val="46657251"/>
    <w:rsid w:val="4681622F"/>
    <w:rsid w:val="47176B91"/>
    <w:rsid w:val="474F3B83"/>
    <w:rsid w:val="4765616B"/>
    <w:rsid w:val="47AF18CB"/>
    <w:rsid w:val="47DB4576"/>
    <w:rsid w:val="47E168E9"/>
    <w:rsid w:val="47FD2D03"/>
    <w:rsid w:val="4803601A"/>
    <w:rsid w:val="482226F4"/>
    <w:rsid w:val="483376F0"/>
    <w:rsid w:val="487E4FA1"/>
    <w:rsid w:val="48BF0D6E"/>
    <w:rsid w:val="490B1698"/>
    <w:rsid w:val="492C5FAC"/>
    <w:rsid w:val="49B514F7"/>
    <w:rsid w:val="49E73D61"/>
    <w:rsid w:val="49FE5BD2"/>
    <w:rsid w:val="4A520EA4"/>
    <w:rsid w:val="4AF76A56"/>
    <w:rsid w:val="4B0646EC"/>
    <w:rsid w:val="4B0831DA"/>
    <w:rsid w:val="4B243121"/>
    <w:rsid w:val="4B2C2585"/>
    <w:rsid w:val="4B320132"/>
    <w:rsid w:val="4B353754"/>
    <w:rsid w:val="4B7D6686"/>
    <w:rsid w:val="4B94002F"/>
    <w:rsid w:val="4B9B3AE1"/>
    <w:rsid w:val="4BA42D1B"/>
    <w:rsid w:val="4BE5527B"/>
    <w:rsid w:val="4C12722A"/>
    <w:rsid w:val="4CD40988"/>
    <w:rsid w:val="4CEE081F"/>
    <w:rsid w:val="4CF66DF3"/>
    <w:rsid w:val="4D6B3DD8"/>
    <w:rsid w:val="4D6C0FD8"/>
    <w:rsid w:val="4D7121E4"/>
    <w:rsid w:val="4DB923C9"/>
    <w:rsid w:val="4DD06205"/>
    <w:rsid w:val="4DE21C64"/>
    <w:rsid w:val="4DF50E2F"/>
    <w:rsid w:val="4DFF1E9B"/>
    <w:rsid w:val="4E7E04CC"/>
    <w:rsid w:val="4ED06700"/>
    <w:rsid w:val="4EE250DA"/>
    <w:rsid w:val="4EE31675"/>
    <w:rsid w:val="4EFE3E76"/>
    <w:rsid w:val="4F2B684D"/>
    <w:rsid w:val="4F5C4F42"/>
    <w:rsid w:val="4F8456AB"/>
    <w:rsid w:val="4F86401C"/>
    <w:rsid w:val="4F9A0798"/>
    <w:rsid w:val="500166E6"/>
    <w:rsid w:val="500D2187"/>
    <w:rsid w:val="50A273AD"/>
    <w:rsid w:val="51092947"/>
    <w:rsid w:val="518B4A4B"/>
    <w:rsid w:val="51AD4897"/>
    <w:rsid w:val="51C43746"/>
    <w:rsid w:val="51D015A3"/>
    <w:rsid w:val="51DE16FC"/>
    <w:rsid w:val="52746F83"/>
    <w:rsid w:val="528719A0"/>
    <w:rsid w:val="52977E39"/>
    <w:rsid w:val="529A1C76"/>
    <w:rsid w:val="52C015BD"/>
    <w:rsid w:val="52FA1130"/>
    <w:rsid w:val="53147AB4"/>
    <w:rsid w:val="53E60DD6"/>
    <w:rsid w:val="5436719A"/>
    <w:rsid w:val="54684AC5"/>
    <w:rsid w:val="54871765"/>
    <w:rsid w:val="548A3C8E"/>
    <w:rsid w:val="55195BEC"/>
    <w:rsid w:val="55576563"/>
    <w:rsid w:val="559D00FC"/>
    <w:rsid w:val="56230B4D"/>
    <w:rsid w:val="562F1DDF"/>
    <w:rsid w:val="563D090C"/>
    <w:rsid w:val="563E1755"/>
    <w:rsid w:val="56814D8A"/>
    <w:rsid w:val="56A5615B"/>
    <w:rsid w:val="56E61C8F"/>
    <w:rsid w:val="5710087D"/>
    <w:rsid w:val="57667717"/>
    <w:rsid w:val="576C6E8E"/>
    <w:rsid w:val="576F3481"/>
    <w:rsid w:val="57910783"/>
    <w:rsid w:val="57EE1AF6"/>
    <w:rsid w:val="582A3904"/>
    <w:rsid w:val="585214A3"/>
    <w:rsid w:val="586B0DA0"/>
    <w:rsid w:val="588F3133"/>
    <w:rsid w:val="58BF6C01"/>
    <w:rsid w:val="58EC6DFA"/>
    <w:rsid w:val="59295E53"/>
    <w:rsid w:val="59345258"/>
    <w:rsid w:val="5997348A"/>
    <w:rsid w:val="59A32924"/>
    <w:rsid w:val="5A271E32"/>
    <w:rsid w:val="5A3170EC"/>
    <w:rsid w:val="5A997087"/>
    <w:rsid w:val="5ACC34D9"/>
    <w:rsid w:val="5AD33F58"/>
    <w:rsid w:val="5B7E083F"/>
    <w:rsid w:val="5B801AD3"/>
    <w:rsid w:val="5BC80B8E"/>
    <w:rsid w:val="5BC918D8"/>
    <w:rsid w:val="5C13211C"/>
    <w:rsid w:val="5CA5225F"/>
    <w:rsid w:val="5CC96166"/>
    <w:rsid w:val="5CF42D8C"/>
    <w:rsid w:val="5D1E7D9E"/>
    <w:rsid w:val="5D4E1060"/>
    <w:rsid w:val="5D6F1549"/>
    <w:rsid w:val="5D745CA9"/>
    <w:rsid w:val="5D7A2A8A"/>
    <w:rsid w:val="5DB5380E"/>
    <w:rsid w:val="5DB82806"/>
    <w:rsid w:val="5DE84E05"/>
    <w:rsid w:val="5E0A5621"/>
    <w:rsid w:val="5E322110"/>
    <w:rsid w:val="5E362A92"/>
    <w:rsid w:val="5E7E0CCD"/>
    <w:rsid w:val="5E876AE5"/>
    <w:rsid w:val="5E9F5A88"/>
    <w:rsid w:val="5ED362A5"/>
    <w:rsid w:val="5EE2246D"/>
    <w:rsid w:val="5EE92A85"/>
    <w:rsid w:val="5EF77271"/>
    <w:rsid w:val="5F553F98"/>
    <w:rsid w:val="5F706794"/>
    <w:rsid w:val="5FA87847"/>
    <w:rsid w:val="5FE8108B"/>
    <w:rsid w:val="60031334"/>
    <w:rsid w:val="60312FCE"/>
    <w:rsid w:val="6053474C"/>
    <w:rsid w:val="605516E4"/>
    <w:rsid w:val="606F12B6"/>
    <w:rsid w:val="60D108FE"/>
    <w:rsid w:val="6116203F"/>
    <w:rsid w:val="611D6BB1"/>
    <w:rsid w:val="61412195"/>
    <w:rsid w:val="61436367"/>
    <w:rsid w:val="614602E3"/>
    <w:rsid w:val="614937EF"/>
    <w:rsid w:val="616E1341"/>
    <w:rsid w:val="61870F08"/>
    <w:rsid w:val="618816C5"/>
    <w:rsid w:val="61DB48A7"/>
    <w:rsid w:val="61E71D86"/>
    <w:rsid w:val="61EC3863"/>
    <w:rsid w:val="62465E1A"/>
    <w:rsid w:val="625573CE"/>
    <w:rsid w:val="627B7B51"/>
    <w:rsid w:val="629E0443"/>
    <w:rsid w:val="62A17116"/>
    <w:rsid w:val="62AA04D7"/>
    <w:rsid w:val="62C05BCC"/>
    <w:rsid w:val="62DB0C58"/>
    <w:rsid w:val="62DB51B0"/>
    <w:rsid w:val="630603C9"/>
    <w:rsid w:val="631242F5"/>
    <w:rsid w:val="63181564"/>
    <w:rsid w:val="632D1A4A"/>
    <w:rsid w:val="634F35C3"/>
    <w:rsid w:val="63AA3F33"/>
    <w:rsid w:val="63AB687C"/>
    <w:rsid w:val="63E91AC0"/>
    <w:rsid w:val="63EC5076"/>
    <w:rsid w:val="640F1388"/>
    <w:rsid w:val="64146C80"/>
    <w:rsid w:val="646D4173"/>
    <w:rsid w:val="647C1FA9"/>
    <w:rsid w:val="6480021A"/>
    <w:rsid w:val="64D94DB6"/>
    <w:rsid w:val="653B1C65"/>
    <w:rsid w:val="65441327"/>
    <w:rsid w:val="6559557F"/>
    <w:rsid w:val="6572201E"/>
    <w:rsid w:val="65762AB4"/>
    <w:rsid w:val="65B85280"/>
    <w:rsid w:val="65BC3BA4"/>
    <w:rsid w:val="65CF58CE"/>
    <w:rsid w:val="65D8756A"/>
    <w:rsid w:val="65EE103D"/>
    <w:rsid w:val="65EF1F7B"/>
    <w:rsid w:val="65FC4749"/>
    <w:rsid w:val="66051562"/>
    <w:rsid w:val="66573C94"/>
    <w:rsid w:val="665E269E"/>
    <w:rsid w:val="665F46EA"/>
    <w:rsid w:val="66624376"/>
    <w:rsid w:val="669C2D32"/>
    <w:rsid w:val="66B56B3E"/>
    <w:rsid w:val="67931B50"/>
    <w:rsid w:val="679B2979"/>
    <w:rsid w:val="67A05B4F"/>
    <w:rsid w:val="67CC31C4"/>
    <w:rsid w:val="67FC7DF9"/>
    <w:rsid w:val="681060DC"/>
    <w:rsid w:val="68187305"/>
    <w:rsid w:val="681B4E21"/>
    <w:rsid w:val="682E1EFF"/>
    <w:rsid w:val="68616D15"/>
    <w:rsid w:val="686D45F0"/>
    <w:rsid w:val="689737BD"/>
    <w:rsid w:val="68B116C2"/>
    <w:rsid w:val="68B1466A"/>
    <w:rsid w:val="68F30E27"/>
    <w:rsid w:val="698931BC"/>
    <w:rsid w:val="69DD3714"/>
    <w:rsid w:val="6A0C16F7"/>
    <w:rsid w:val="6A67086A"/>
    <w:rsid w:val="6A706DAA"/>
    <w:rsid w:val="6A927654"/>
    <w:rsid w:val="6AD17D5F"/>
    <w:rsid w:val="6AE45A01"/>
    <w:rsid w:val="6AF102D1"/>
    <w:rsid w:val="6B1D1032"/>
    <w:rsid w:val="6B3B1A4A"/>
    <w:rsid w:val="6B3C083A"/>
    <w:rsid w:val="6B4B3F9F"/>
    <w:rsid w:val="6B596BBE"/>
    <w:rsid w:val="6B627BF5"/>
    <w:rsid w:val="6B67695A"/>
    <w:rsid w:val="6B6C03ED"/>
    <w:rsid w:val="6B6E3D99"/>
    <w:rsid w:val="6C001747"/>
    <w:rsid w:val="6C13282F"/>
    <w:rsid w:val="6C8A5370"/>
    <w:rsid w:val="6C8E6F24"/>
    <w:rsid w:val="6CBA620B"/>
    <w:rsid w:val="6D0A34C9"/>
    <w:rsid w:val="6DAF62A9"/>
    <w:rsid w:val="6DB76382"/>
    <w:rsid w:val="6DFE207C"/>
    <w:rsid w:val="6E43471E"/>
    <w:rsid w:val="6ED82666"/>
    <w:rsid w:val="6EE22E73"/>
    <w:rsid w:val="6F09339A"/>
    <w:rsid w:val="6F182745"/>
    <w:rsid w:val="6F2138F7"/>
    <w:rsid w:val="6F2648E6"/>
    <w:rsid w:val="6F346D43"/>
    <w:rsid w:val="6F3B36B2"/>
    <w:rsid w:val="6F540049"/>
    <w:rsid w:val="6F593F47"/>
    <w:rsid w:val="6F8675E6"/>
    <w:rsid w:val="6FA318C5"/>
    <w:rsid w:val="6FA64737"/>
    <w:rsid w:val="6FB920D0"/>
    <w:rsid w:val="6FD40F09"/>
    <w:rsid w:val="6FFB69E3"/>
    <w:rsid w:val="70351EC6"/>
    <w:rsid w:val="70541B60"/>
    <w:rsid w:val="70662AC9"/>
    <w:rsid w:val="709A79F6"/>
    <w:rsid w:val="70C5036C"/>
    <w:rsid w:val="70DC1747"/>
    <w:rsid w:val="70F42B75"/>
    <w:rsid w:val="7116079C"/>
    <w:rsid w:val="71211A13"/>
    <w:rsid w:val="71221749"/>
    <w:rsid w:val="715B56E4"/>
    <w:rsid w:val="71960268"/>
    <w:rsid w:val="71E353AC"/>
    <w:rsid w:val="71FF67E5"/>
    <w:rsid w:val="72056FBD"/>
    <w:rsid w:val="7209768E"/>
    <w:rsid w:val="725D16EC"/>
    <w:rsid w:val="727E0AE7"/>
    <w:rsid w:val="728409C4"/>
    <w:rsid w:val="72B0747B"/>
    <w:rsid w:val="72C12824"/>
    <w:rsid w:val="72F94533"/>
    <w:rsid w:val="73061614"/>
    <w:rsid w:val="73150566"/>
    <w:rsid w:val="73472A21"/>
    <w:rsid w:val="734A4A63"/>
    <w:rsid w:val="735407E2"/>
    <w:rsid w:val="73587908"/>
    <w:rsid w:val="735B3F7F"/>
    <w:rsid w:val="73665E14"/>
    <w:rsid w:val="736D1458"/>
    <w:rsid w:val="73783256"/>
    <w:rsid w:val="73AA7FD6"/>
    <w:rsid w:val="74026919"/>
    <w:rsid w:val="740D6799"/>
    <w:rsid w:val="740F59D1"/>
    <w:rsid w:val="745708AE"/>
    <w:rsid w:val="748A684F"/>
    <w:rsid w:val="749051DB"/>
    <w:rsid w:val="74BB2DD0"/>
    <w:rsid w:val="74E4399C"/>
    <w:rsid w:val="74ED1458"/>
    <w:rsid w:val="751C433C"/>
    <w:rsid w:val="7586418D"/>
    <w:rsid w:val="75964726"/>
    <w:rsid w:val="75C016C5"/>
    <w:rsid w:val="760B2740"/>
    <w:rsid w:val="761A4FBE"/>
    <w:rsid w:val="76314AE6"/>
    <w:rsid w:val="76437F2E"/>
    <w:rsid w:val="765E5216"/>
    <w:rsid w:val="7661744C"/>
    <w:rsid w:val="768F6C70"/>
    <w:rsid w:val="76D67ABF"/>
    <w:rsid w:val="76E11540"/>
    <w:rsid w:val="770E18B0"/>
    <w:rsid w:val="775B5196"/>
    <w:rsid w:val="77626BF9"/>
    <w:rsid w:val="77BB6989"/>
    <w:rsid w:val="78024F00"/>
    <w:rsid w:val="786848E4"/>
    <w:rsid w:val="788B7A12"/>
    <w:rsid w:val="78FB0C8E"/>
    <w:rsid w:val="78FE1A72"/>
    <w:rsid w:val="790E5EB5"/>
    <w:rsid w:val="79100F45"/>
    <w:rsid w:val="791265BB"/>
    <w:rsid w:val="79384901"/>
    <w:rsid w:val="793D084C"/>
    <w:rsid w:val="794166EF"/>
    <w:rsid w:val="795A3D88"/>
    <w:rsid w:val="79C40A75"/>
    <w:rsid w:val="79DD4C7B"/>
    <w:rsid w:val="79E50213"/>
    <w:rsid w:val="79EB1329"/>
    <w:rsid w:val="79FC4065"/>
    <w:rsid w:val="7A010CED"/>
    <w:rsid w:val="7A016D9E"/>
    <w:rsid w:val="7A180926"/>
    <w:rsid w:val="7A1F5BB2"/>
    <w:rsid w:val="7A483364"/>
    <w:rsid w:val="7A514C08"/>
    <w:rsid w:val="7A7C3D73"/>
    <w:rsid w:val="7A8B7CDB"/>
    <w:rsid w:val="7B3B0005"/>
    <w:rsid w:val="7B494559"/>
    <w:rsid w:val="7B500703"/>
    <w:rsid w:val="7B5917AC"/>
    <w:rsid w:val="7B7B4D92"/>
    <w:rsid w:val="7B873543"/>
    <w:rsid w:val="7BCA3E92"/>
    <w:rsid w:val="7BCD0864"/>
    <w:rsid w:val="7BFC4CA2"/>
    <w:rsid w:val="7C2766E9"/>
    <w:rsid w:val="7C2D7149"/>
    <w:rsid w:val="7CAB5ACE"/>
    <w:rsid w:val="7CDA3D62"/>
    <w:rsid w:val="7CE32CFE"/>
    <w:rsid w:val="7D0B3761"/>
    <w:rsid w:val="7D1C58A8"/>
    <w:rsid w:val="7D2F59D0"/>
    <w:rsid w:val="7D663CF5"/>
    <w:rsid w:val="7E2E1D6E"/>
    <w:rsid w:val="7E844680"/>
    <w:rsid w:val="7E946B7C"/>
    <w:rsid w:val="7EDF268F"/>
    <w:rsid w:val="7EFD7DEE"/>
    <w:rsid w:val="7F0030BB"/>
    <w:rsid w:val="7F046B5C"/>
    <w:rsid w:val="7F336F69"/>
    <w:rsid w:val="7F5014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1"/>
    <w:qFormat/>
    <w:uiPriority w:val="0"/>
    <w:pPr>
      <w:keepNext/>
      <w:spacing w:line="240" w:lineRule="atLeast"/>
      <w:ind w:firstLine="570"/>
      <w:outlineLvl w:val="0"/>
    </w:pPr>
    <w:rPr>
      <w:kern w:val="0"/>
      <w:sz w:val="28"/>
    </w:rPr>
  </w:style>
  <w:style w:type="paragraph" w:styleId="4">
    <w:name w:val="heading 2"/>
    <w:basedOn w:val="1"/>
    <w:next w:val="1"/>
    <w:link w:val="52"/>
    <w:qFormat/>
    <w:uiPriority w:val="0"/>
    <w:pPr>
      <w:keepNext/>
      <w:keepLines/>
      <w:spacing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line="416" w:lineRule="auto"/>
      <w:outlineLvl w:val="2"/>
    </w:pPr>
    <w:rPr>
      <w:b/>
      <w:bCs/>
      <w:sz w:val="32"/>
      <w:szCs w:val="32"/>
    </w:rPr>
  </w:style>
  <w:style w:type="paragraph" w:styleId="6">
    <w:name w:val="heading 4"/>
    <w:basedOn w:val="5"/>
    <w:next w:val="5"/>
    <w:link w:val="53"/>
    <w:qFormat/>
    <w:uiPriority w:val="0"/>
    <w:pPr>
      <w:spacing w:line="376" w:lineRule="auto"/>
      <w:outlineLvl w:val="3"/>
    </w:pPr>
    <w:rPr>
      <w:rFonts w:ascii="Arial" w:hAnsi="Arial" w:eastAsia="黑体"/>
      <w:sz w:val="28"/>
      <w:szCs w:val="28"/>
    </w:rPr>
  </w:style>
  <w:style w:type="paragraph" w:styleId="7">
    <w:name w:val="heading 5"/>
    <w:basedOn w:val="1"/>
    <w:next w:val="1"/>
    <w:qFormat/>
    <w:uiPriority w:val="0"/>
    <w:pPr>
      <w:keepNext/>
      <w:keepLines/>
      <w:spacing w:line="376" w:lineRule="auto"/>
      <w:outlineLvl w:val="4"/>
    </w:pPr>
    <w:rPr>
      <w:b/>
      <w:bCs/>
      <w:sz w:val="28"/>
      <w:szCs w:val="28"/>
    </w:rPr>
  </w:style>
  <w:style w:type="paragraph" w:styleId="8">
    <w:name w:val="heading 6"/>
    <w:basedOn w:val="1"/>
    <w:next w:val="1"/>
    <w:qFormat/>
    <w:uiPriority w:val="0"/>
    <w:pPr>
      <w:keepNext/>
      <w:keepLines/>
      <w:spacing w:line="320" w:lineRule="auto"/>
      <w:outlineLvl w:val="5"/>
    </w:pPr>
    <w:rPr>
      <w:rFonts w:ascii="Arial" w:hAnsi="Arial" w:eastAsia="黑体"/>
      <w:b/>
      <w:bCs/>
      <w:sz w:val="24"/>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2">
    <w:name w:val="macro"/>
    <w:link w:val="50"/>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9">
    <w:name w:val="List 3"/>
    <w:basedOn w:val="1"/>
    <w:qFormat/>
    <w:uiPriority w:val="0"/>
    <w:pPr>
      <w:ind w:left="100" w:leftChars="400" w:hanging="200" w:hangingChars="200"/>
    </w:pPr>
  </w:style>
  <w:style w:type="paragraph" w:styleId="10">
    <w:name w:val="toc 7"/>
    <w:basedOn w:val="1"/>
    <w:next w:val="1"/>
    <w:qFormat/>
    <w:uiPriority w:val="0"/>
    <w:pPr>
      <w:ind w:left="1260"/>
      <w:jc w:val="left"/>
    </w:pPr>
    <w:rPr>
      <w:rFonts w:ascii="Calibri" w:hAnsi="Calibri"/>
      <w:sz w:val="18"/>
      <w:szCs w:val="18"/>
    </w:rPr>
  </w:style>
  <w:style w:type="paragraph" w:styleId="11">
    <w:name w:val="Normal Indent"/>
    <w:basedOn w:val="1"/>
    <w:qFormat/>
    <w:uiPriority w:val="0"/>
    <w:pPr>
      <w:ind w:firstLine="420" w:firstLineChars="200"/>
    </w:pPr>
  </w:style>
  <w:style w:type="paragraph" w:styleId="12">
    <w:name w:val="caption"/>
    <w:basedOn w:val="1"/>
    <w:next w:val="1"/>
    <w:qFormat/>
    <w:uiPriority w:val="0"/>
    <w:pPr>
      <w:jc w:val="right"/>
    </w:pPr>
  </w:style>
  <w:style w:type="paragraph" w:styleId="13">
    <w:name w:val="Document Map"/>
    <w:basedOn w:val="1"/>
    <w:link w:val="54"/>
    <w:qFormat/>
    <w:uiPriority w:val="0"/>
    <w:pPr>
      <w:shd w:val="clear" w:color="auto" w:fill="000080"/>
    </w:pPr>
  </w:style>
  <w:style w:type="paragraph" w:styleId="14">
    <w:name w:val="annotation text"/>
    <w:basedOn w:val="1"/>
    <w:link w:val="55"/>
    <w:qFormat/>
    <w:uiPriority w:val="0"/>
    <w:pPr>
      <w:jc w:val="left"/>
    </w:pPr>
  </w:style>
  <w:style w:type="paragraph" w:styleId="15">
    <w:name w:val="Body Text"/>
    <w:basedOn w:val="1"/>
    <w:qFormat/>
    <w:uiPriority w:val="0"/>
  </w:style>
  <w:style w:type="paragraph" w:styleId="16">
    <w:name w:val="Body Text Indent"/>
    <w:basedOn w:val="1"/>
    <w:link w:val="56"/>
    <w:qFormat/>
    <w:uiPriority w:val="0"/>
    <w:pPr>
      <w:ind w:firstLine="560" w:firstLineChars="200"/>
    </w:pPr>
  </w:style>
  <w:style w:type="paragraph" w:styleId="17">
    <w:name w:val="List 2"/>
    <w:basedOn w:val="1"/>
    <w:qFormat/>
    <w:uiPriority w:val="0"/>
    <w:pPr>
      <w:ind w:left="100" w:leftChars="200" w:hanging="200" w:hangingChars="200"/>
    </w:pPr>
  </w:style>
  <w:style w:type="paragraph" w:styleId="18">
    <w:name w:val="toc 5"/>
    <w:basedOn w:val="1"/>
    <w:next w:val="1"/>
    <w:qFormat/>
    <w:uiPriority w:val="0"/>
    <w:pPr>
      <w:ind w:left="840"/>
      <w:jc w:val="left"/>
    </w:pPr>
    <w:rPr>
      <w:rFonts w:ascii="Calibri" w:hAnsi="Calibri"/>
      <w:sz w:val="18"/>
      <w:szCs w:val="18"/>
    </w:rPr>
  </w:style>
  <w:style w:type="paragraph" w:styleId="19">
    <w:name w:val="toc 3"/>
    <w:basedOn w:val="1"/>
    <w:next w:val="1"/>
    <w:semiHidden/>
    <w:qFormat/>
    <w:uiPriority w:val="0"/>
    <w:pPr>
      <w:ind w:left="420"/>
      <w:jc w:val="left"/>
    </w:pPr>
    <w:rPr>
      <w:rFonts w:ascii="Calibri" w:hAnsi="Calibri"/>
      <w:i/>
      <w:iCs/>
      <w:sz w:val="20"/>
      <w:szCs w:val="20"/>
    </w:rPr>
  </w:style>
  <w:style w:type="paragraph" w:styleId="20">
    <w:name w:val="Plain Text"/>
    <w:basedOn w:val="1"/>
    <w:link w:val="57"/>
    <w:qFormat/>
    <w:uiPriority w:val="0"/>
    <w:rPr>
      <w:rFonts w:ascii="宋体" w:hAnsi="Courier New"/>
      <w:szCs w:val="21"/>
    </w:rPr>
  </w:style>
  <w:style w:type="paragraph" w:styleId="21">
    <w:name w:val="toc 8"/>
    <w:basedOn w:val="1"/>
    <w:next w:val="1"/>
    <w:qFormat/>
    <w:uiPriority w:val="0"/>
    <w:pPr>
      <w:ind w:left="1470"/>
      <w:jc w:val="left"/>
    </w:pPr>
    <w:rPr>
      <w:rFonts w:ascii="Calibri" w:hAnsi="Calibri"/>
      <w:sz w:val="18"/>
      <w:szCs w:val="18"/>
    </w:rPr>
  </w:style>
  <w:style w:type="paragraph" w:styleId="22">
    <w:name w:val="Date"/>
    <w:basedOn w:val="1"/>
    <w:next w:val="1"/>
    <w:qFormat/>
    <w:uiPriority w:val="0"/>
    <w:pPr>
      <w:ind w:left="100" w:leftChars="2500"/>
    </w:pPr>
  </w:style>
  <w:style w:type="paragraph" w:styleId="23">
    <w:name w:val="Body Text Indent 2"/>
    <w:basedOn w:val="1"/>
    <w:qFormat/>
    <w:uiPriority w:val="0"/>
    <w:pPr>
      <w:ind w:firstLine="560" w:firstLineChars="200"/>
      <w:jc w:val="left"/>
    </w:pPr>
    <w:rPr>
      <w:rFonts w:ascii="宋体" w:hAnsi="宋体"/>
      <w:sz w:val="28"/>
      <w:szCs w:val="28"/>
    </w:rPr>
  </w:style>
  <w:style w:type="paragraph" w:styleId="24">
    <w:name w:val="Balloon Text"/>
    <w:basedOn w:val="1"/>
    <w:link w:val="58"/>
    <w:qFormat/>
    <w:uiPriority w:val="0"/>
    <w:rPr>
      <w:sz w:val="18"/>
      <w:szCs w:val="18"/>
    </w:rPr>
  </w:style>
  <w:style w:type="paragraph" w:styleId="25">
    <w:name w:val="footer"/>
    <w:basedOn w:val="1"/>
    <w:link w:val="122"/>
    <w:qFormat/>
    <w:uiPriority w:val="99"/>
    <w:pPr>
      <w:tabs>
        <w:tab w:val="center" w:pos="4153"/>
        <w:tab w:val="right" w:pos="8306"/>
      </w:tabs>
      <w:snapToGrid w:val="0"/>
      <w:jc w:val="left"/>
    </w:pPr>
    <w:rPr>
      <w:sz w:val="18"/>
      <w:szCs w:val="18"/>
    </w:rPr>
  </w:style>
  <w:style w:type="paragraph" w:styleId="26">
    <w:name w:val="header"/>
    <w:basedOn w:val="1"/>
    <w:link w:val="59"/>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3"/>
    <w:next w:val="4"/>
    <w:qFormat/>
    <w:uiPriority w:val="39"/>
    <w:pPr>
      <w:keepNext w:val="0"/>
      <w:spacing w:line="240" w:lineRule="auto"/>
      <w:ind w:firstLine="0"/>
      <w:jc w:val="left"/>
      <w:outlineLvl w:val="9"/>
    </w:pPr>
    <w:rPr>
      <w:rFonts w:ascii="Calibri" w:hAnsi="Calibri"/>
      <w:b/>
      <w:bCs/>
      <w:caps/>
      <w:kern w:val="2"/>
      <w:sz w:val="20"/>
      <w:szCs w:val="20"/>
    </w:rPr>
  </w:style>
  <w:style w:type="paragraph" w:styleId="28">
    <w:name w:val="List Continue 4"/>
    <w:basedOn w:val="1"/>
    <w:qFormat/>
    <w:uiPriority w:val="0"/>
    <w:pPr>
      <w:ind w:left="1680" w:leftChars="800"/>
    </w:pPr>
  </w:style>
  <w:style w:type="paragraph" w:styleId="29">
    <w:name w:val="toc 4"/>
    <w:basedOn w:val="1"/>
    <w:next w:val="1"/>
    <w:qFormat/>
    <w:uiPriority w:val="0"/>
    <w:pPr>
      <w:ind w:left="630"/>
      <w:jc w:val="left"/>
    </w:pPr>
    <w:rPr>
      <w:rFonts w:ascii="Calibri" w:hAnsi="Calibri"/>
      <w:sz w:val="18"/>
      <w:szCs w:val="18"/>
    </w:rPr>
  </w:style>
  <w:style w:type="paragraph" w:styleId="30">
    <w:name w:val="toc 6"/>
    <w:basedOn w:val="1"/>
    <w:next w:val="1"/>
    <w:qFormat/>
    <w:uiPriority w:val="0"/>
    <w:pPr>
      <w:ind w:left="1050"/>
      <w:jc w:val="left"/>
    </w:pPr>
    <w:rPr>
      <w:rFonts w:ascii="Calibri" w:hAnsi="Calibri"/>
      <w:sz w:val="18"/>
      <w:szCs w:val="18"/>
    </w:rPr>
  </w:style>
  <w:style w:type="paragraph" w:styleId="31">
    <w:name w:val="Body Text Indent 3"/>
    <w:basedOn w:val="1"/>
    <w:link w:val="60"/>
    <w:qFormat/>
    <w:uiPriority w:val="0"/>
    <w:pPr>
      <w:ind w:left="420" w:leftChars="200"/>
    </w:pPr>
    <w:rPr>
      <w:sz w:val="16"/>
      <w:szCs w:val="16"/>
    </w:rPr>
  </w:style>
  <w:style w:type="paragraph" w:styleId="32">
    <w:name w:val="table of figures"/>
    <w:basedOn w:val="1"/>
    <w:next w:val="1"/>
    <w:qFormat/>
    <w:uiPriority w:val="0"/>
    <w:pPr>
      <w:autoSpaceDE w:val="0"/>
      <w:autoSpaceDN w:val="0"/>
      <w:spacing w:line="360" w:lineRule="auto"/>
      <w:ind w:left="200" w:leftChars="200" w:hanging="200" w:hangingChars="200"/>
    </w:pPr>
    <w:rPr>
      <w:sz w:val="28"/>
      <w:szCs w:val="20"/>
    </w:rPr>
  </w:style>
  <w:style w:type="paragraph" w:styleId="33">
    <w:name w:val="toc 2"/>
    <w:basedOn w:val="1"/>
    <w:next w:val="1"/>
    <w:qFormat/>
    <w:uiPriority w:val="39"/>
    <w:pPr>
      <w:ind w:left="210"/>
      <w:jc w:val="left"/>
    </w:pPr>
    <w:rPr>
      <w:rFonts w:ascii="Calibri" w:hAnsi="Calibri"/>
      <w:smallCaps/>
      <w:sz w:val="20"/>
      <w:szCs w:val="20"/>
    </w:rPr>
  </w:style>
  <w:style w:type="paragraph" w:styleId="34">
    <w:name w:val="toc 9"/>
    <w:basedOn w:val="1"/>
    <w:next w:val="1"/>
    <w:qFormat/>
    <w:uiPriority w:val="0"/>
    <w:pPr>
      <w:ind w:left="1680"/>
      <w:jc w:val="left"/>
    </w:pPr>
    <w:rPr>
      <w:rFonts w:ascii="Calibri" w:hAnsi="Calibri"/>
      <w:sz w:val="18"/>
      <w:szCs w:val="18"/>
    </w:rPr>
  </w:style>
  <w:style w:type="paragraph" w:styleId="35">
    <w:name w:val="Body Text 2"/>
    <w:basedOn w:val="1"/>
    <w:qFormat/>
    <w:uiPriority w:val="0"/>
    <w:pPr>
      <w:spacing w:line="480" w:lineRule="auto"/>
    </w:pPr>
  </w:style>
  <w:style w:type="paragraph" w:styleId="36">
    <w:name w:val="List 4"/>
    <w:basedOn w:val="1"/>
    <w:qFormat/>
    <w:uiPriority w:val="0"/>
    <w:pPr>
      <w:ind w:left="100" w:leftChars="600" w:hanging="200" w:hangingChars="200"/>
    </w:pPr>
  </w:style>
  <w:style w:type="paragraph" w:styleId="37">
    <w:name w:val="Normal (Web)"/>
    <w:basedOn w:val="1"/>
    <w:qFormat/>
    <w:uiPriority w:val="0"/>
    <w:pPr>
      <w:widowControl/>
      <w:spacing w:beforeAutospacing="1" w:afterAutospacing="1"/>
      <w:jc w:val="left"/>
    </w:pPr>
    <w:rPr>
      <w:rFonts w:ascii="宋体" w:hAnsi="宋体" w:cs="宋体"/>
      <w:kern w:val="0"/>
      <w:sz w:val="24"/>
    </w:rPr>
  </w:style>
  <w:style w:type="paragraph" w:styleId="38">
    <w:name w:val="Title"/>
    <w:basedOn w:val="1"/>
    <w:next w:val="1"/>
    <w:link w:val="61"/>
    <w:qFormat/>
    <w:uiPriority w:val="0"/>
    <w:pPr>
      <w:jc w:val="center"/>
      <w:outlineLvl w:val="0"/>
    </w:pPr>
    <w:rPr>
      <w:rFonts w:ascii="Cambria" w:hAnsi="Cambria"/>
      <w:b/>
      <w:bCs/>
      <w:sz w:val="32"/>
      <w:szCs w:val="32"/>
    </w:rPr>
  </w:style>
  <w:style w:type="paragraph" w:styleId="39">
    <w:name w:val="annotation subject"/>
    <w:basedOn w:val="14"/>
    <w:next w:val="14"/>
    <w:link w:val="62"/>
    <w:qFormat/>
    <w:uiPriority w:val="0"/>
    <w:rPr>
      <w:b/>
      <w:bCs/>
    </w:rPr>
  </w:style>
  <w:style w:type="paragraph" w:styleId="40">
    <w:name w:val="Body Text First Indent"/>
    <w:basedOn w:val="15"/>
    <w:qFormat/>
    <w:uiPriority w:val="0"/>
    <w:pPr>
      <w:spacing w:after="120"/>
      <w:ind w:firstLine="420" w:firstLineChars="100"/>
    </w:pPr>
  </w:style>
  <w:style w:type="paragraph" w:styleId="41">
    <w:name w:val="Body Text First Indent 2"/>
    <w:basedOn w:val="16"/>
    <w:link w:val="63"/>
    <w:qFormat/>
    <w:uiPriority w:val="0"/>
    <w:pPr>
      <w:ind w:left="420" w:leftChars="200" w:firstLine="420"/>
    </w:pPr>
  </w:style>
  <w:style w:type="table" w:styleId="43">
    <w:name w:val="Table Grid"/>
    <w:basedOn w:val="4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5">
    <w:name w:val="Strong"/>
    <w:qFormat/>
    <w:uiPriority w:val="0"/>
    <w:rPr>
      <w:b/>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Hyperlink"/>
    <w:basedOn w:val="44"/>
    <w:qFormat/>
    <w:uiPriority w:val="99"/>
    <w:rPr>
      <w:rFonts w:eastAsia="宋体"/>
      <w:color w:val="0000FF"/>
      <w:sz w:val="32"/>
      <w:u w:val="single"/>
    </w:rPr>
  </w:style>
  <w:style w:type="character" w:styleId="49">
    <w:name w:val="annotation reference"/>
    <w:qFormat/>
    <w:uiPriority w:val="0"/>
    <w:rPr>
      <w:sz w:val="21"/>
      <w:szCs w:val="21"/>
    </w:rPr>
  </w:style>
  <w:style w:type="character" w:customStyle="1" w:styleId="50">
    <w:name w:val="宏文本 Char"/>
    <w:link w:val="2"/>
    <w:qFormat/>
    <w:uiPriority w:val="0"/>
    <w:rPr>
      <w:rFonts w:ascii="Courier New" w:hAnsi="Courier New" w:cs="Courier New"/>
      <w:kern w:val="2"/>
      <w:sz w:val="24"/>
      <w:szCs w:val="24"/>
      <w:lang w:val="en-US" w:eastAsia="zh-CN" w:bidi="ar-SA"/>
    </w:rPr>
  </w:style>
  <w:style w:type="character" w:customStyle="1" w:styleId="51">
    <w:name w:val="标题 1 Char"/>
    <w:link w:val="3"/>
    <w:qFormat/>
    <w:uiPriority w:val="0"/>
    <w:rPr>
      <w:sz w:val="28"/>
      <w:szCs w:val="24"/>
    </w:rPr>
  </w:style>
  <w:style w:type="character" w:customStyle="1" w:styleId="52">
    <w:name w:val="标题 2 Char1"/>
    <w:link w:val="4"/>
    <w:qFormat/>
    <w:uiPriority w:val="0"/>
    <w:rPr>
      <w:rFonts w:ascii="Arial" w:hAnsi="Arial" w:eastAsia="黑体"/>
      <w:b/>
      <w:bCs/>
      <w:kern w:val="2"/>
      <w:sz w:val="32"/>
      <w:szCs w:val="32"/>
    </w:rPr>
  </w:style>
  <w:style w:type="character" w:customStyle="1" w:styleId="53">
    <w:name w:val="标题 4 Char"/>
    <w:link w:val="6"/>
    <w:qFormat/>
    <w:uiPriority w:val="0"/>
    <w:rPr>
      <w:rFonts w:ascii="Arial" w:hAnsi="Arial" w:eastAsia="黑体"/>
      <w:b/>
      <w:bCs/>
      <w:kern w:val="2"/>
      <w:sz w:val="28"/>
      <w:szCs w:val="28"/>
      <w:lang w:val="en-US" w:eastAsia="zh-CN" w:bidi="ar-SA"/>
    </w:rPr>
  </w:style>
  <w:style w:type="character" w:customStyle="1" w:styleId="54">
    <w:name w:val="文档结构图 Char"/>
    <w:link w:val="13"/>
    <w:qFormat/>
    <w:uiPriority w:val="0"/>
    <w:rPr>
      <w:kern w:val="2"/>
      <w:sz w:val="21"/>
      <w:szCs w:val="24"/>
      <w:shd w:val="clear" w:color="auto" w:fill="000080"/>
    </w:rPr>
  </w:style>
  <w:style w:type="character" w:customStyle="1" w:styleId="55">
    <w:name w:val="批注文字 Char"/>
    <w:link w:val="14"/>
    <w:qFormat/>
    <w:uiPriority w:val="0"/>
    <w:rPr>
      <w:kern w:val="2"/>
      <w:sz w:val="21"/>
      <w:szCs w:val="24"/>
    </w:rPr>
  </w:style>
  <w:style w:type="character" w:customStyle="1" w:styleId="56">
    <w:name w:val="正文文本缩进 Char"/>
    <w:link w:val="16"/>
    <w:qFormat/>
    <w:uiPriority w:val="0"/>
    <w:rPr>
      <w:kern w:val="2"/>
      <w:sz w:val="21"/>
      <w:szCs w:val="24"/>
    </w:rPr>
  </w:style>
  <w:style w:type="character" w:customStyle="1" w:styleId="57">
    <w:name w:val="纯文本 Char"/>
    <w:link w:val="20"/>
    <w:qFormat/>
    <w:uiPriority w:val="0"/>
    <w:rPr>
      <w:rFonts w:ascii="宋体" w:hAnsi="Courier New" w:eastAsia="宋体"/>
      <w:kern w:val="2"/>
      <w:sz w:val="21"/>
      <w:szCs w:val="21"/>
      <w:lang w:val="en-US" w:eastAsia="zh-CN" w:bidi="ar-SA"/>
    </w:rPr>
  </w:style>
  <w:style w:type="character" w:customStyle="1" w:styleId="58">
    <w:name w:val="批注框文本 Char"/>
    <w:link w:val="24"/>
    <w:qFormat/>
    <w:uiPriority w:val="0"/>
    <w:rPr>
      <w:kern w:val="2"/>
      <w:sz w:val="18"/>
      <w:szCs w:val="18"/>
    </w:rPr>
  </w:style>
  <w:style w:type="character" w:customStyle="1" w:styleId="59">
    <w:name w:val="页眉 Char"/>
    <w:link w:val="26"/>
    <w:qFormat/>
    <w:uiPriority w:val="0"/>
    <w:rPr>
      <w:kern w:val="2"/>
      <w:sz w:val="18"/>
      <w:szCs w:val="18"/>
    </w:rPr>
  </w:style>
  <w:style w:type="character" w:customStyle="1" w:styleId="60">
    <w:name w:val="正文文本缩进 3 Char"/>
    <w:link w:val="31"/>
    <w:qFormat/>
    <w:uiPriority w:val="0"/>
    <w:rPr>
      <w:kern w:val="2"/>
      <w:sz w:val="16"/>
      <w:szCs w:val="16"/>
    </w:rPr>
  </w:style>
  <w:style w:type="character" w:customStyle="1" w:styleId="61">
    <w:name w:val="标题 Char"/>
    <w:link w:val="38"/>
    <w:qFormat/>
    <w:uiPriority w:val="0"/>
    <w:rPr>
      <w:rFonts w:ascii="Cambria" w:hAnsi="Cambria" w:cs="Times New Roman"/>
      <w:b/>
      <w:bCs/>
      <w:kern w:val="2"/>
      <w:sz w:val="32"/>
      <w:szCs w:val="32"/>
    </w:rPr>
  </w:style>
  <w:style w:type="character" w:customStyle="1" w:styleId="62">
    <w:name w:val="批注主题 Char"/>
    <w:link w:val="39"/>
    <w:qFormat/>
    <w:uiPriority w:val="0"/>
    <w:rPr>
      <w:b/>
      <w:bCs/>
      <w:kern w:val="2"/>
      <w:sz w:val="21"/>
      <w:szCs w:val="24"/>
    </w:rPr>
  </w:style>
  <w:style w:type="character" w:customStyle="1" w:styleId="63">
    <w:name w:val="正文首行缩进 2 Char"/>
    <w:link w:val="41"/>
    <w:qFormat/>
    <w:uiPriority w:val="0"/>
    <w:rPr>
      <w:kern w:val="2"/>
      <w:sz w:val="21"/>
      <w:szCs w:val="24"/>
    </w:rPr>
  </w:style>
  <w:style w:type="character" w:customStyle="1" w:styleId="64">
    <w:name w:val="正文1 Char4"/>
    <w:link w:val="65"/>
    <w:qFormat/>
    <w:uiPriority w:val="0"/>
    <w:rPr>
      <w:rFonts w:ascii="宋体" w:hAnsi="宋体"/>
      <w:kern w:val="2"/>
      <w:sz w:val="28"/>
      <w:szCs w:val="28"/>
    </w:rPr>
  </w:style>
  <w:style w:type="paragraph" w:customStyle="1" w:styleId="65">
    <w:name w:val="正文1"/>
    <w:basedOn w:val="1"/>
    <w:link w:val="64"/>
    <w:qFormat/>
    <w:uiPriority w:val="0"/>
    <w:pPr>
      <w:spacing w:line="700" w:lineRule="exact"/>
      <w:ind w:firstLine="560" w:firstLineChars="200"/>
    </w:pPr>
    <w:rPr>
      <w:rFonts w:ascii="宋体" w:hAnsi="宋体"/>
      <w:sz w:val="28"/>
      <w:szCs w:val="28"/>
    </w:rPr>
  </w:style>
  <w:style w:type="character" w:customStyle="1" w:styleId="66">
    <w:name w:val="章"/>
    <w:qFormat/>
    <w:uiPriority w:val="0"/>
    <w:rPr>
      <w:rFonts w:eastAsia="宋体"/>
      <w:b/>
      <w:bCs/>
      <w:sz w:val="36"/>
    </w:rPr>
  </w:style>
  <w:style w:type="character" w:customStyle="1" w:styleId="67">
    <w:name w:val="font51"/>
    <w:qFormat/>
    <w:uiPriority w:val="0"/>
    <w:rPr>
      <w:rFonts w:hint="default" w:ascii="Times New Roman" w:hAnsi="Times New Roman" w:cs="Times New Roman"/>
      <w:color w:val="000000"/>
      <w:sz w:val="18"/>
      <w:szCs w:val="18"/>
      <w:u w:val="none"/>
    </w:rPr>
  </w:style>
  <w:style w:type="character" w:customStyle="1" w:styleId="68">
    <w:name w:val="font61"/>
    <w:qFormat/>
    <w:uiPriority w:val="0"/>
    <w:rPr>
      <w:rFonts w:hint="eastAsia" w:ascii="宋体" w:hAnsi="宋体" w:eastAsia="宋体" w:cs="宋体"/>
      <w:color w:val="000000"/>
      <w:sz w:val="24"/>
      <w:szCs w:val="24"/>
      <w:u w:val="none"/>
    </w:rPr>
  </w:style>
  <w:style w:type="character" w:customStyle="1" w:styleId="69">
    <w:name w:val="标题 2 Char"/>
    <w:qFormat/>
    <w:uiPriority w:val="0"/>
    <w:rPr>
      <w:rFonts w:ascii="Arial" w:hAnsi="Arial" w:eastAsia="黑体"/>
      <w:b/>
      <w:bCs/>
      <w:kern w:val="2"/>
      <w:sz w:val="32"/>
      <w:szCs w:val="32"/>
      <w:lang w:val="en-US" w:eastAsia="zh-CN" w:bidi="ar-SA"/>
    </w:rPr>
  </w:style>
  <w:style w:type="character" w:customStyle="1" w:styleId="70">
    <w:name w:val="font81"/>
    <w:qFormat/>
    <w:uiPriority w:val="0"/>
    <w:rPr>
      <w:rFonts w:hint="default" w:ascii="Times New Roman" w:hAnsi="Times New Roman" w:cs="Times New Roman"/>
      <w:color w:val="000000"/>
      <w:sz w:val="18"/>
      <w:szCs w:val="18"/>
      <w:u w:val="none"/>
      <w:vertAlign w:val="superscript"/>
    </w:rPr>
  </w:style>
  <w:style w:type="character" w:customStyle="1" w:styleId="71">
    <w:name w:val="3号宋体正文 Char"/>
    <w:link w:val="72"/>
    <w:qFormat/>
    <w:uiPriority w:val="0"/>
    <w:rPr>
      <w:rFonts w:eastAsia="仿宋_GB2312"/>
      <w:spacing w:val="20"/>
      <w:kern w:val="2"/>
      <w:sz w:val="32"/>
      <w:szCs w:val="32"/>
    </w:rPr>
  </w:style>
  <w:style w:type="paragraph" w:customStyle="1" w:styleId="72">
    <w:name w:val="3号宋体正文"/>
    <w:basedOn w:val="1"/>
    <w:link w:val="71"/>
    <w:qFormat/>
    <w:uiPriority w:val="0"/>
    <w:pPr>
      <w:spacing w:line="360" w:lineRule="auto"/>
      <w:ind w:firstLine="737"/>
      <w:jc w:val="left"/>
    </w:pPr>
    <w:rPr>
      <w:rFonts w:eastAsia="仿宋_GB2312"/>
      <w:spacing w:val="20"/>
      <w:sz w:val="32"/>
      <w:szCs w:val="32"/>
    </w:rPr>
  </w:style>
  <w:style w:type="character" w:customStyle="1" w:styleId="73">
    <w:name w:val="font21"/>
    <w:qFormat/>
    <w:uiPriority w:val="0"/>
    <w:rPr>
      <w:rFonts w:hint="eastAsia" w:ascii="宋体" w:hAnsi="宋体" w:eastAsia="宋体" w:cs="宋体"/>
      <w:color w:val="000000"/>
      <w:sz w:val="18"/>
      <w:szCs w:val="18"/>
      <w:u w:val="none"/>
    </w:rPr>
  </w:style>
  <w:style w:type="character" w:customStyle="1" w:styleId="74">
    <w:name w:val="样式4 Char"/>
    <w:link w:val="75"/>
    <w:qFormat/>
    <w:uiPriority w:val="0"/>
    <w:rPr>
      <w:rFonts w:ascii="仿宋_GB2312" w:hAnsi="宋体" w:eastAsia="宋体"/>
      <w:kern w:val="2"/>
      <w:sz w:val="28"/>
      <w:szCs w:val="28"/>
      <w:lang w:val="en-US" w:eastAsia="zh-CN" w:bidi="ar-SA"/>
    </w:rPr>
  </w:style>
  <w:style w:type="paragraph" w:customStyle="1" w:styleId="75">
    <w:name w:val="样式4"/>
    <w:basedOn w:val="1"/>
    <w:link w:val="74"/>
    <w:qFormat/>
    <w:uiPriority w:val="0"/>
    <w:pPr>
      <w:spacing w:line="360" w:lineRule="auto"/>
      <w:ind w:firstLine="420" w:firstLineChars="150"/>
      <w:jc w:val="left"/>
    </w:pPr>
    <w:rPr>
      <w:rFonts w:ascii="仿宋_GB2312" w:hAnsi="宋体"/>
      <w:sz w:val="28"/>
      <w:szCs w:val="28"/>
    </w:rPr>
  </w:style>
  <w:style w:type="character" w:customStyle="1" w:styleId="76">
    <w:name w:val="样式6"/>
    <w:qFormat/>
    <w:uiPriority w:val="0"/>
    <w:rPr>
      <w:rFonts w:ascii="Times New Roman" w:hAnsi="Times New Roman"/>
    </w:rPr>
  </w:style>
  <w:style w:type="paragraph" w:customStyle="1" w:styleId="77">
    <w:name w:val="样式 仿宋_GB2312 首行缩进:  2 字符"/>
    <w:basedOn w:val="1"/>
    <w:qFormat/>
    <w:uiPriority w:val="0"/>
    <w:pPr>
      <w:adjustRightInd w:val="0"/>
      <w:snapToGrid w:val="0"/>
      <w:ind w:firstLine="200" w:firstLineChars="200"/>
    </w:pPr>
    <w:rPr>
      <w:rFonts w:ascii="仿宋_GB2312" w:eastAsia="仿宋_GB2312" w:cs="宋体"/>
      <w:sz w:val="28"/>
      <w:szCs w:val="20"/>
    </w:rPr>
  </w:style>
  <w:style w:type="paragraph" w:customStyle="1" w:styleId="78">
    <w:name w:val="样式 标题 2 + (西文) Times New Roman (中文) 宋体 小三 行距: 1.5 倍行距"/>
    <w:basedOn w:val="4"/>
    <w:qFormat/>
    <w:uiPriority w:val="0"/>
    <w:pPr>
      <w:spacing w:line="240" w:lineRule="auto"/>
    </w:pPr>
    <w:rPr>
      <w:rFonts w:ascii="Times New Roman" w:hAnsi="宋体" w:eastAsia="宋体" w:cs="宋体"/>
      <w:sz w:val="30"/>
      <w:szCs w:val="20"/>
    </w:rPr>
  </w:style>
  <w:style w:type="paragraph" w:customStyle="1" w:styleId="79">
    <w:name w:val="表格文字"/>
    <w:qFormat/>
    <w:uiPriority w:val="99"/>
    <w:pPr>
      <w:widowControl w:val="0"/>
      <w:jc w:val="center"/>
    </w:pPr>
    <w:rPr>
      <w:rFonts w:ascii="Times New Roman" w:hAnsi="Times New Roman" w:eastAsia="宋体" w:cs="Times New Roman"/>
      <w:lang w:val="en-US" w:eastAsia="zh-CN" w:bidi="ar-SA"/>
    </w:rPr>
  </w:style>
  <w:style w:type="paragraph" w:customStyle="1" w:styleId="80">
    <w:name w:val="1"/>
    <w:basedOn w:val="1"/>
    <w:next w:val="31"/>
    <w:qFormat/>
    <w:uiPriority w:val="0"/>
    <w:pPr>
      <w:ind w:firstLine="570"/>
    </w:pPr>
    <w:rPr>
      <w:sz w:val="28"/>
    </w:rPr>
  </w:style>
  <w:style w:type="paragraph" w:customStyle="1" w:styleId="81">
    <w:name w:val="样式2"/>
    <w:basedOn w:val="7"/>
    <w:qFormat/>
    <w:uiPriority w:val="0"/>
    <w:pPr>
      <w:jc w:val="center"/>
    </w:pPr>
  </w:style>
  <w:style w:type="paragraph" w:customStyle="1" w:styleId="82">
    <w:name w:val="样式 样式 标题 2 + (西文) Times New Roman (中文) 宋体 四号 + (符号) Times New Ro..."/>
    <w:basedOn w:val="83"/>
    <w:qFormat/>
    <w:uiPriority w:val="0"/>
    <w:pPr>
      <w:ind w:firstLine="420"/>
    </w:pPr>
    <w:rPr>
      <w:rFonts w:hAnsi="Times New Roman"/>
      <w:b/>
      <w:bCs w:val="0"/>
    </w:rPr>
  </w:style>
  <w:style w:type="paragraph" w:customStyle="1" w:styleId="83">
    <w:name w:val="样式 标题 2 + (西文) Times New Roman (中文) 宋体 四号"/>
    <w:basedOn w:val="4"/>
    <w:qFormat/>
    <w:uiPriority w:val="0"/>
    <w:pPr>
      <w:ind w:firstLine="422" w:firstLineChars="150"/>
    </w:pPr>
    <w:rPr>
      <w:rFonts w:ascii="Times New Roman" w:hAnsi="宋体" w:eastAsia="宋体" w:cs="宋体"/>
      <w:b w:val="0"/>
      <w:sz w:val="28"/>
      <w:szCs w:val="20"/>
    </w:rPr>
  </w:style>
  <w:style w:type="paragraph" w:customStyle="1" w:styleId="84">
    <w:name w:val="样式 标题 4 + (符号) 宋体 非加粗 首行缩进:  1.96 字符"/>
    <w:qFormat/>
    <w:uiPriority w:val="0"/>
    <w:pPr>
      <w:ind w:firstLine="549" w:firstLineChars="196"/>
    </w:pPr>
    <w:rPr>
      <w:rFonts w:ascii="仿宋_GB2312" w:hAnsi="宋体" w:eastAsia="仿宋_GB2312" w:cs="宋体"/>
      <w:color w:val="000000"/>
      <w:kern w:val="2"/>
      <w:sz w:val="28"/>
      <w:lang w:val="en-US" w:eastAsia="zh-CN" w:bidi="ar-SA"/>
    </w:rPr>
  </w:style>
  <w:style w:type="paragraph" w:customStyle="1" w:styleId="85">
    <w:name w:val="标题2-CQ"/>
    <w:basedOn w:val="86"/>
    <w:qFormat/>
    <w:uiPriority w:val="0"/>
    <w:pPr>
      <w:tabs>
        <w:tab w:val="left" w:pos="0"/>
        <w:tab w:val="left" w:pos="575"/>
      </w:tabs>
      <w:snapToGrid w:val="0"/>
    </w:pPr>
    <w:rPr>
      <w:rFonts w:ascii="宋体" w:eastAsia="宋体"/>
      <w:sz w:val="30"/>
    </w:rPr>
  </w:style>
  <w:style w:type="paragraph" w:customStyle="1" w:styleId="86">
    <w:name w:val="标题2"/>
    <w:basedOn w:val="1"/>
    <w:qFormat/>
    <w:uiPriority w:val="0"/>
    <w:pPr>
      <w:keepNext/>
      <w:keepLines/>
      <w:tabs>
        <w:tab w:val="left" w:pos="0"/>
        <w:tab w:val="left" w:pos="575"/>
      </w:tabs>
      <w:spacing w:line="360" w:lineRule="auto"/>
      <w:ind w:left="567"/>
      <w:outlineLvl w:val="1"/>
    </w:pPr>
    <w:rPr>
      <w:rFonts w:ascii="仿宋" w:hAnsi="仿宋" w:eastAsia="仿宋" w:cs="仿宋"/>
      <w:b/>
      <w:sz w:val="32"/>
      <w:szCs w:val="20"/>
    </w:rPr>
  </w:style>
  <w:style w:type="paragraph" w:customStyle="1" w:styleId="87">
    <w:name w:val="样式1"/>
    <w:basedOn w:val="6"/>
    <w:qFormat/>
    <w:uiPriority w:val="0"/>
    <w:pPr>
      <w:jc w:val="center"/>
    </w:pPr>
  </w:style>
  <w:style w:type="paragraph" w:customStyle="1" w:styleId="88">
    <w:name w:val="我的讲话格式"/>
    <w:basedOn w:val="1"/>
    <w:qFormat/>
    <w:uiPriority w:val="0"/>
    <w:pPr>
      <w:spacing w:line="360" w:lineRule="auto"/>
      <w:jc w:val="center"/>
    </w:pPr>
    <w:rPr>
      <w:b/>
      <w:sz w:val="24"/>
    </w:rPr>
  </w:style>
  <w:style w:type="paragraph" w:customStyle="1" w:styleId="89">
    <w:name w:val="Char Char Char Char Char Char Char Char Char Char Char Char Char Char"/>
    <w:qFormat/>
    <w:uiPriority w:val="0"/>
    <w:pPr>
      <w:widowControl w:val="0"/>
      <w:spacing w:line="300" w:lineRule="auto"/>
      <w:ind w:firstLine="480" w:firstLineChars="200"/>
      <w:jc w:val="both"/>
    </w:pPr>
    <w:rPr>
      <w:rFonts w:ascii="Times New Roman" w:hAnsi="Times New Roman" w:eastAsia="宋体" w:cs="Times New Roman"/>
      <w:lang w:val="en-US" w:eastAsia="zh-CN" w:bidi="ar-SA"/>
    </w:rPr>
  </w:style>
  <w:style w:type="paragraph" w:customStyle="1" w:styleId="90">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91">
    <w:name w:val="_Style 90"/>
    <w:basedOn w:val="3"/>
    <w:next w:val="1"/>
    <w:qFormat/>
    <w:uiPriority w:val="39"/>
    <w:pPr>
      <w:keepLines/>
      <w:widowControl/>
      <w:spacing w:line="276" w:lineRule="auto"/>
      <w:ind w:firstLine="0"/>
      <w:jc w:val="left"/>
      <w:outlineLvl w:val="9"/>
    </w:pPr>
    <w:rPr>
      <w:rFonts w:ascii="Cambria" w:hAnsi="Cambria"/>
      <w:b/>
      <w:bCs/>
      <w:color w:val="365F91"/>
      <w:szCs w:val="28"/>
    </w:rPr>
  </w:style>
  <w:style w:type="paragraph" w:customStyle="1" w:styleId="92">
    <w:name w:val="样式 标题 2 + 四号 居中"/>
    <w:basedOn w:val="4"/>
    <w:qFormat/>
    <w:uiPriority w:val="0"/>
    <w:pPr>
      <w:spacing w:line="360" w:lineRule="auto"/>
      <w:jc w:val="center"/>
    </w:pPr>
    <w:rPr>
      <w:rFonts w:cs="宋体"/>
      <w:sz w:val="28"/>
      <w:szCs w:val="20"/>
    </w:rPr>
  </w:style>
  <w:style w:type="paragraph" w:customStyle="1" w:styleId="93">
    <w:name w:val="章程格式"/>
    <w:basedOn w:val="1"/>
    <w:qFormat/>
    <w:uiPriority w:val="0"/>
    <w:pPr>
      <w:spacing w:line="360" w:lineRule="auto"/>
      <w:ind w:firstLine="482" w:firstLineChars="200"/>
      <w:jc w:val="center"/>
    </w:pPr>
    <w:rPr>
      <w:b/>
      <w:sz w:val="24"/>
    </w:rPr>
  </w:style>
  <w:style w:type="paragraph" w:customStyle="1" w:styleId="94">
    <w:name w:val="WPSOffice手动目录 1"/>
    <w:qFormat/>
    <w:uiPriority w:val="0"/>
    <w:rPr>
      <w:rFonts w:ascii="Times New Roman" w:hAnsi="Times New Roman" w:eastAsia="宋体" w:cs="Times New Roman"/>
      <w:lang w:val="en-US" w:eastAsia="zh-CN" w:bidi="ar-SA"/>
    </w:rPr>
  </w:style>
  <w:style w:type="paragraph" w:customStyle="1" w:styleId="95">
    <w:name w:val="数字"/>
    <w:basedOn w:val="1"/>
    <w:qFormat/>
    <w:uiPriority w:val="0"/>
    <w:pPr>
      <w:ind w:firstLine="560" w:firstLineChars="200"/>
    </w:pPr>
    <w:rPr>
      <w:rFonts w:ascii="宋体" w:hAnsi="宋体" w:eastAsia="Times New Roman"/>
      <w:sz w:val="28"/>
      <w:szCs w:val="28"/>
    </w:rPr>
  </w:style>
  <w:style w:type="paragraph" w:customStyle="1" w:styleId="96">
    <w:name w:val="样式3"/>
    <w:basedOn w:val="8"/>
    <w:qFormat/>
    <w:uiPriority w:val="0"/>
  </w:style>
  <w:style w:type="paragraph" w:customStyle="1" w:styleId="97">
    <w:name w:val="_Style 57"/>
    <w:basedOn w:val="1"/>
    <w:qFormat/>
    <w:uiPriority w:val="0"/>
    <w:pPr>
      <w:spacing w:line="360" w:lineRule="auto"/>
      <w:ind w:firstLine="200" w:firstLineChars="200"/>
    </w:pPr>
    <w:rPr>
      <w:rFonts w:ascii="宋体" w:hAnsi="宋体" w:cs="宋体"/>
      <w:sz w:val="24"/>
    </w:rPr>
  </w:style>
  <w:style w:type="paragraph" w:customStyle="1" w:styleId="98">
    <w:name w:val="7"/>
    <w:basedOn w:val="1"/>
    <w:qFormat/>
    <w:uiPriority w:val="0"/>
    <w:pPr>
      <w:autoSpaceDE w:val="0"/>
      <w:autoSpaceDN w:val="0"/>
      <w:adjustRightInd w:val="0"/>
      <w:snapToGrid w:val="0"/>
      <w:spacing w:line="360" w:lineRule="auto"/>
      <w:ind w:firstLine="200" w:firstLineChars="200"/>
      <w:textAlignment w:val="baseline"/>
    </w:pPr>
    <w:rPr>
      <w:rFonts w:eastAsia="Times New Roman"/>
      <w:sz w:val="28"/>
      <w:szCs w:val="28"/>
    </w:rPr>
  </w:style>
  <w:style w:type="paragraph" w:customStyle="1" w:styleId="99">
    <w:name w:val="报告正文"/>
    <w:basedOn w:val="11"/>
    <w:next w:val="16"/>
    <w:qFormat/>
    <w:uiPriority w:val="0"/>
    <w:pPr>
      <w:ind w:firstLine="544"/>
      <w:jc w:val="center"/>
    </w:pPr>
    <w:rPr>
      <w:rFonts w:ascii="仿宋_GB2312" w:hAnsi="仿宋" w:eastAsia="仿宋_GB2312"/>
      <w:color w:val="000000"/>
      <w:spacing w:val="-4"/>
    </w:rPr>
  </w:style>
  <w:style w:type="paragraph" w:customStyle="1" w:styleId="10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01">
    <w:name w:val="Char Char Char Char Char Char Char Char Char Char"/>
    <w:basedOn w:val="1"/>
    <w:qFormat/>
    <w:uiPriority w:val="0"/>
    <w:pPr>
      <w:jc w:val="left"/>
    </w:pPr>
    <w:rPr>
      <w:szCs w:val="20"/>
    </w:rPr>
  </w:style>
  <w:style w:type="paragraph" w:customStyle="1" w:styleId="102">
    <w:name w:val="Char"/>
    <w:basedOn w:val="1"/>
    <w:qFormat/>
    <w:uiPriority w:val="0"/>
    <w:pPr>
      <w:spacing w:line="360" w:lineRule="auto"/>
      <w:ind w:firstLine="200" w:firstLineChars="200"/>
    </w:pPr>
    <w:rPr>
      <w:rFonts w:ascii="宋体" w:hAnsi="宋体" w:cs="宋体"/>
      <w:sz w:val="24"/>
    </w:rPr>
  </w:style>
  <w:style w:type="paragraph" w:customStyle="1" w:styleId="103">
    <w:name w:val="Char Char Char Char Char Char Char Char Char Char Char Char Char Char Char1 Char Char Char1 Char Char Char"/>
    <w:basedOn w:val="1"/>
    <w:qFormat/>
    <w:uiPriority w:val="0"/>
    <w:pPr>
      <w:spacing w:line="360" w:lineRule="auto"/>
      <w:ind w:firstLine="200" w:firstLineChars="200"/>
    </w:pPr>
    <w:rPr>
      <w:rFonts w:ascii="宋体" w:hAnsi="宋体" w:cs="宋体"/>
      <w:sz w:val="24"/>
    </w:rPr>
  </w:style>
  <w:style w:type="paragraph" w:customStyle="1" w:styleId="104">
    <w:name w:val="Char Char Char1 Char Char Char Char Char Char Char Char Char Char Char Char Char Char Char Char Char Char Char"/>
    <w:basedOn w:val="1"/>
    <w:next w:val="11"/>
    <w:qFormat/>
    <w:uiPriority w:val="0"/>
    <w:rPr>
      <w:rFonts w:ascii="宋体" w:hAnsi="宋体"/>
      <w:sz w:val="28"/>
      <w:szCs w:val="28"/>
    </w:rPr>
  </w:style>
  <w:style w:type="paragraph" w:customStyle="1" w:styleId="105">
    <w:name w:val="Char Char5"/>
    <w:basedOn w:val="1"/>
    <w:qFormat/>
    <w:uiPriority w:val="0"/>
    <w:pPr>
      <w:spacing w:line="360" w:lineRule="auto"/>
      <w:ind w:firstLine="200" w:firstLineChars="200"/>
    </w:pPr>
    <w:rPr>
      <w:rFonts w:ascii="宋体" w:hAnsi="宋体" w:cs="宋体"/>
      <w:sz w:val="24"/>
    </w:rPr>
  </w:style>
  <w:style w:type="paragraph" w:customStyle="1" w:styleId="106">
    <w:name w:val="样式5"/>
    <w:basedOn w:val="1"/>
    <w:qFormat/>
    <w:uiPriority w:val="0"/>
    <w:pPr>
      <w:jc w:val="center"/>
    </w:pPr>
  </w:style>
  <w:style w:type="paragraph" w:styleId="107">
    <w:name w:val="List Paragraph"/>
    <w:basedOn w:val="1"/>
    <w:qFormat/>
    <w:uiPriority w:val="1"/>
    <w:pPr>
      <w:ind w:firstLine="420" w:firstLineChars="200"/>
    </w:pPr>
  </w:style>
  <w:style w:type="paragraph" w:customStyle="1" w:styleId="108">
    <w:name w:val="Char Char Char"/>
    <w:basedOn w:val="1"/>
    <w:qFormat/>
    <w:uiPriority w:val="0"/>
    <w:pPr>
      <w:spacing w:line="360" w:lineRule="auto"/>
      <w:ind w:firstLine="200" w:firstLineChars="200"/>
    </w:pPr>
    <w:rPr>
      <w:rFonts w:ascii="宋体" w:hAnsi="宋体" w:cs="宋体"/>
      <w:sz w:val="24"/>
    </w:rPr>
  </w:style>
  <w:style w:type="paragraph" w:customStyle="1" w:styleId="109">
    <w:name w:val="ENFI段落"/>
    <w:basedOn w:val="1"/>
    <w:qFormat/>
    <w:uiPriority w:val="0"/>
    <w:pPr>
      <w:widowControl/>
      <w:snapToGrid w:val="0"/>
      <w:spacing w:line="300" w:lineRule="auto"/>
      <w:ind w:firstLine="480"/>
      <w:jc w:val="left"/>
    </w:pPr>
    <w:rPr>
      <w:rFonts w:ascii="仿宋" w:hAnsi="仿宋" w:eastAsia="仿宋_GB2312"/>
      <w:sz w:val="28"/>
      <w:szCs w:val="28"/>
    </w:rPr>
  </w:style>
  <w:style w:type="paragraph" w:customStyle="1" w:styleId="110">
    <w:name w:val="我的报告"/>
    <w:basedOn w:val="1"/>
    <w:qFormat/>
    <w:uiPriority w:val="0"/>
    <w:pPr>
      <w:ind w:left="420" w:leftChars="200" w:right="-1772" w:rightChars="-844" w:firstLine="3920" w:firstLineChars="1400"/>
    </w:pPr>
    <w:rPr>
      <w:sz w:val="28"/>
      <w:szCs w:val="28"/>
    </w:rPr>
  </w:style>
  <w:style w:type="paragraph" w:customStyle="1" w:styleId="111">
    <w:name w:val="样式 行距: 1.5 倍行距 首行缩进:  2.57 字符"/>
    <w:basedOn w:val="1"/>
    <w:qFormat/>
    <w:uiPriority w:val="0"/>
    <w:pPr>
      <w:spacing w:line="360" w:lineRule="auto"/>
      <w:ind w:firstLine="200" w:firstLineChars="200"/>
    </w:pPr>
    <w:rPr>
      <w:rFonts w:ascii="宋体" w:hAnsi="宋体" w:cs="宋体"/>
      <w:sz w:val="28"/>
      <w:szCs w:val="20"/>
    </w:rPr>
  </w:style>
  <w:style w:type="paragraph" w:customStyle="1" w:styleId="112">
    <w:name w:val="Char Char Char Char Char Char Char Char Char Char Char Char Char Char1"/>
    <w:qFormat/>
    <w:uiPriority w:val="0"/>
    <w:pPr>
      <w:widowControl w:val="0"/>
      <w:spacing w:line="300" w:lineRule="auto"/>
      <w:ind w:firstLine="480" w:firstLineChars="200"/>
      <w:jc w:val="both"/>
    </w:pPr>
    <w:rPr>
      <w:rFonts w:ascii="Times New Roman" w:hAnsi="Times New Roman" w:eastAsia="宋体" w:cs="Times New Roman"/>
      <w:lang w:val="en-US" w:eastAsia="zh-CN" w:bidi="ar-SA"/>
    </w:rPr>
  </w:style>
  <w:style w:type="paragraph" w:customStyle="1" w:styleId="113">
    <w:name w:val="正文 New New New New New New New New New New New New New New New New New New New New New New"/>
    <w:basedOn w:val="1"/>
    <w:qFormat/>
    <w:uiPriority w:val="0"/>
    <w:pPr>
      <w:spacing w:line="520" w:lineRule="exact"/>
      <w:ind w:firstLine="720" w:firstLineChars="200"/>
    </w:pPr>
    <w:rPr>
      <w:sz w:val="28"/>
      <w:szCs w:val="20"/>
    </w:rPr>
  </w:style>
  <w:style w:type="paragraph" w:customStyle="1" w:styleId="114">
    <w:name w:val="样式 样式 标题 4 + 宋体 小四 段前: 0 磅 段后: 0 磅 行距: 1.5 倍行距 + 首行缩进:  2 字符"/>
    <w:basedOn w:val="1"/>
    <w:qFormat/>
    <w:uiPriority w:val="0"/>
    <w:pPr>
      <w:keepNext/>
      <w:keepLines/>
      <w:outlineLvl w:val="3"/>
    </w:pPr>
    <w:rPr>
      <w:rFonts w:ascii="宋体" w:hAnsi="宋体" w:cs="宋体"/>
      <w:b/>
      <w:bCs/>
      <w:kern w:val="0"/>
      <w:sz w:val="28"/>
      <w:szCs w:val="20"/>
    </w:rPr>
  </w:style>
  <w:style w:type="character" w:customStyle="1" w:styleId="115">
    <w:name w:val="font31"/>
    <w:basedOn w:val="44"/>
    <w:qFormat/>
    <w:uiPriority w:val="0"/>
    <w:rPr>
      <w:rFonts w:hint="eastAsia" w:ascii="宋体" w:hAnsi="宋体" w:eastAsia="宋体" w:cs="宋体"/>
      <w:color w:val="000000"/>
      <w:sz w:val="24"/>
      <w:szCs w:val="24"/>
      <w:u w:val="none"/>
      <w:vertAlign w:val="superscript"/>
    </w:rPr>
  </w:style>
  <w:style w:type="character" w:customStyle="1" w:styleId="116">
    <w:name w:val="font01"/>
    <w:basedOn w:val="44"/>
    <w:qFormat/>
    <w:uiPriority w:val="0"/>
    <w:rPr>
      <w:rFonts w:hint="eastAsia" w:ascii="宋体" w:hAnsi="宋体" w:eastAsia="宋体" w:cs="宋体"/>
      <w:color w:val="000000"/>
      <w:sz w:val="24"/>
      <w:szCs w:val="24"/>
      <w:u w:val="none"/>
      <w:vertAlign w:val="subscript"/>
    </w:rPr>
  </w:style>
  <w:style w:type="character" w:customStyle="1" w:styleId="117">
    <w:name w:val="font91"/>
    <w:basedOn w:val="44"/>
    <w:qFormat/>
    <w:uiPriority w:val="0"/>
    <w:rPr>
      <w:rFonts w:hint="default" w:ascii="Times New Roman" w:hAnsi="Times New Roman" w:cs="Times New Roman"/>
      <w:color w:val="000000"/>
      <w:sz w:val="22"/>
      <w:szCs w:val="22"/>
      <w:u w:val="none"/>
      <w:vertAlign w:val="subscript"/>
    </w:rPr>
  </w:style>
  <w:style w:type="table" w:customStyle="1" w:styleId="118">
    <w:name w:val="Table Normal"/>
    <w:unhideWhenUsed/>
    <w:qFormat/>
    <w:uiPriority w:val="0"/>
    <w:tblPr>
      <w:tblCellMar>
        <w:top w:w="0" w:type="dxa"/>
        <w:left w:w="0" w:type="dxa"/>
        <w:bottom w:w="0" w:type="dxa"/>
        <w:right w:w="0" w:type="dxa"/>
      </w:tblCellMar>
    </w:tblPr>
  </w:style>
  <w:style w:type="paragraph" w:customStyle="1" w:styleId="119">
    <w:name w:val="Table Text"/>
    <w:basedOn w:val="1"/>
    <w:semiHidden/>
    <w:qFormat/>
    <w:uiPriority w:val="0"/>
    <w:rPr>
      <w:rFonts w:ascii="宋体" w:hAnsi="宋体" w:cs="宋体"/>
      <w:sz w:val="20"/>
      <w:szCs w:val="20"/>
      <w:lang w:eastAsia="en-US"/>
    </w:rPr>
  </w:style>
  <w:style w:type="character" w:customStyle="1" w:styleId="120">
    <w:name w:val="font11"/>
    <w:basedOn w:val="44"/>
    <w:qFormat/>
    <w:uiPriority w:val="0"/>
    <w:rPr>
      <w:rFonts w:hint="eastAsia" w:ascii="宋体" w:hAnsi="宋体" w:eastAsia="宋体" w:cs="宋体"/>
      <w:color w:val="000000"/>
      <w:sz w:val="20"/>
      <w:szCs w:val="20"/>
      <w:u w:val="none"/>
    </w:rPr>
  </w:style>
  <w:style w:type="paragraph" w:customStyle="1" w:styleId="121">
    <w:name w:val="Table Paragraph"/>
    <w:basedOn w:val="1"/>
    <w:qFormat/>
    <w:uiPriority w:val="1"/>
    <w:pPr>
      <w:autoSpaceDE w:val="0"/>
      <w:autoSpaceDN w:val="0"/>
      <w:adjustRightInd w:val="0"/>
      <w:jc w:val="left"/>
    </w:pPr>
    <w:rPr>
      <w:kern w:val="0"/>
      <w:sz w:val="24"/>
    </w:rPr>
  </w:style>
  <w:style w:type="character" w:customStyle="1" w:styleId="122">
    <w:name w:val="页脚 Char"/>
    <w:basedOn w:val="44"/>
    <w:link w:val="25"/>
    <w:uiPriority w:val="99"/>
    <w:rPr>
      <w:kern w:val="2"/>
      <w:sz w:val="18"/>
      <w:szCs w:val="18"/>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microsoft.com/office/2006/relationships/keyMapCustomizations" Target="customizations.xml"/><Relationship Id="rId21" Type="http://schemas.openxmlformats.org/officeDocument/2006/relationships/customXml" Target="../customXml/item2.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B1672F-951D-4E70-8850-AE991D146083}">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46</Pages>
  <Words>6405</Words>
  <Characters>7504</Characters>
  <Lines>202</Lines>
  <Paragraphs>57</Paragraphs>
  <TotalTime>70</TotalTime>
  <ScaleCrop>false</ScaleCrop>
  <LinksUpToDate>false</LinksUpToDate>
  <CharactersWithSpaces>7621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2025-05-06T07:00:00Z</dcterms:created>
  <dc:creator>Administrator</dc:creator>
  <cp:lastModifiedBy>Administrator</cp:lastModifiedBy>
  <cp:lastPrinted>2024-07-10T02:15:00Z</cp:lastPrinted>
  <dcterms:modified xsi:type="dcterms:W3CDTF">2025-05-13T02:24:00Z</dcterms:modified>
  <dc:title>地质报告</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DF3B43F8735249309EE0FEE9C2F7ABD0_13</vt:lpwstr>
  </property>
  <property fmtid="{D5CDD505-2E9C-101B-9397-08002B2CF9AE}" pid="4" name="KSOTemplateDocerSaveRecord">
    <vt:lpwstr>eyJoZGlkIjoiOTk0OTU0OTJjYmZkMjQyZDQ5YTNlNzQ3ZDM0OTNiNjEifQ==</vt:lpwstr>
  </property>
</Properties>
</file>